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06" w:rsidRDefault="00B70606" w:rsidP="00AA0519">
      <w:pPr>
        <w:pStyle w:val="a"/>
        <w:spacing w:before="240"/>
        <w:ind w:left="284"/>
      </w:pPr>
      <w:r>
        <w:t>дайджест</w:t>
      </w:r>
    </w:p>
    <w:p w:rsidR="00B70606" w:rsidRDefault="00B70606" w:rsidP="004B05F0">
      <w:pPr>
        <w:pStyle w:val="a2"/>
      </w:pPr>
    </w:p>
    <w:p w:rsidR="00B70606" w:rsidRDefault="00B70606" w:rsidP="00D42D48">
      <w:pPr>
        <w:pStyle w:val="a0"/>
      </w:pPr>
      <w:r>
        <w:t>ПРОПИСКА. КАК СДЕЛАТЬ УСЛУГУ ДОСТУПНОЙ?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Сегодня новым законодательством исключена возможность вести регистрационный учет граждан по месту жительства органами местного самоуправления.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 xml:space="preserve">В декабре 2013 года в Закон «О праве граждан Российской Федерации на свободу передвижения, выбор места пребывания и жительства в пределах Российской Федерации» были внесены существенные изменения. Регистрационный учет граждан по месту жительства и по месту пребывания сегодня должен осуществлять единственный орган – Федеральная миграционная служба. 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По обыкновению, изменения «правил игры» потянули за собой массу вопросов: как граждане будут получать услугу по регистрационному учету, как будет организован процесс выдачи справок с места жительства, в каком порядке информация из базы данных ФМС будет предоставляться органам местного самоуправления.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Для многих муниципалитетов региона актуальной стала тема доступности государственных услуг: приблизительно в 80-ти поселениях люди потеряли возможность реализовать свое право на территории  того населенного пункта, где они проживают.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8"/>
        <w:rPr>
          <w:sz w:val="20"/>
          <w:szCs w:val="20"/>
        </w:rPr>
      </w:pPr>
      <w:r>
        <w:rPr>
          <w:sz w:val="19"/>
          <w:szCs w:val="19"/>
        </w:rPr>
        <w:t>Чтобы не допустить возникновения социальной напряженности Совет муниципальных образований Томской области 21 января 2014 года собрал на своей площадке представителей 12-ти областных департаментов и федеральных структур для разработки  схемы взаимодействия органов власти в новых правовых условиях.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С регламентом информационного взаимодействия между Федеральной миграционной службой и органами местного самоуправления участники совещания определились, что называется, «на берегу». Муниципалитетам нужно подать всего лишь одно заявление в УФМС и информация о зарегистрированных гражданах с определенной периодичностью будет передаваться в местные администрации.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Нерешенным остался вопрос по организации самого процесса регистрации граждан, особенно в труднодоступных местностях.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На совещании было предложено организовать регистрационный учет граждан через Томский областной многофункциональный центр. Согласно этому «сценарию» сотрудники местных администраций, которые до 1 января 2014 года занимались вопросами регистрации, принимаются на работу по совместительству в МФЦ – на определенную долю ставки. Тем самым они становятся сотрудниками МФЦ и, с правовой точки зрения, получают право осуществлять сбор документов на прописку, вести официальный обмен в системе электронного межведомственного взаимодействия.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На первом этапе озвученная схема работы решает вопрос доступности услуги. Однако в результате обсуждения «всплыли» дополнительные моменты. Например, где взять деньги на компенсацию возрастающих транспортных расходов, ведь  для многих территорий документы необходимо везти в райцентр, а услуга теперь должна быть оказана гражданину в течение трех дней.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Одно из предложений – федеральным законом наделить органы местного самоуправления труднодоступных территорий отдельными государственными полномочиями по регистрации граждан: так, как это сделано в отношении организации первичного воинского учета. И это предложение уже попало в резолюцию Съезда Совета, о котором шла речь выше.</w:t>
      </w:r>
    </w:p>
    <w:p w:rsidR="00B70606" w:rsidRDefault="00B70606" w:rsidP="00D42D48">
      <w:pPr>
        <w:pStyle w:val="a0"/>
      </w:pPr>
    </w:p>
    <w:p w:rsidR="00B70606" w:rsidRDefault="00B70606" w:rsidP="00D42D48">
      <w:pPr>
        <w:pStyle w:val="a0"/>
      </w:pPr>
    </w:p>
    <w:p w:rsidR="00B70606" w:rsidRDefault="00B70606" w:rsidP="00D42D48">
      <w:pPr>
        <w:pStyle w:val="a0"/>
      </w:pPr>
      <w:r>
        <w:t>НЕ РЕКЛАМЫ РАДИ, А ПОЛЬЗЫ ДЛя…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В феврале на площадке Совета прошла презентация программных средств и сервисов, которые предназначены для оперативного информационного взаимодействия с Росреестром.</w:t>
      </w:r>
    </w:p>
    <w:p w:rsidR="00B70606" w:rsidRDefault="00B70606" w:rsidP="00D42D48">
      <w:pPr>
        <w:pStyle w:val="a3"/>
      </w:pPr>
      <w:r>
        <w:t xml:space="preserve">Напомним, что в 2008 году Правительство России распорядилось при ведении государственного кадастра недвижимости наладить электронное информационное взаимодействие. 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В 2010 году Министерство экономического развития установило требования к формату электронных документов. Так, уже несколько лет, информационный обмен между органами местного самоуправления и Росреестром должен проходить исключительно в электронном виде.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8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>Однако, по словам Виталия Константиновича Файта – директора ФКП Росреестра по Томской области, в нашем регионе больших сдвигов в этом направлении нет.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  <w:ind w:firstLine="0"/>
        <w:rPr>
          <w:b/>
          <w:bCs/>
        </w:rPr>
      </w:pPr>
      <w:r>
        <w:rPr>
          <w:b/>
          <w:bCs/>
        </w:rPr>
        <w:t>В то же время, сегодня в России предлагается масса доступных и простых в использовании решений для электронного взаимодействия. И показать муниципалам возможности подобных систем – это та цель, которую ставили перед собой организаторы семинара.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Презентацию проводили сотрудники компании «ТехноКад» (г. Москва), выпускающей программные продукты и веб-сервисы для кадастровых инженеров и для органов местного самоуправления. В настоящее время пользователями услуг “ТехноКад” являются около 15000 лиц, среди которых уже пятьсот муниципалитетов России.</w:t>
      </w:r>
    </w:p>
    <w:p w:rsidR="00B70606" w:rsidRDefault="00B70606" w:rsidP="00D42D48">
      <w:pPr>
        <w:pStyle w:val="a0"/>
      </w:pPr>
    </w:p>
    <w:p w:rsidR="00B70606" w:rsidRDefault="00B70606" w:rsidP="00D42D48">
      <w:pPr>
        <w:pStyle w:val="a0"/>
      </w:pPr>
      <w:r>
        <w:t>ПРАВОВАЯ СЕКЦИЯ СОВЕТА: АНШЛАГ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В 2014 году по инициативе администрации Кожевниковского района начала свою работу правовая секция Совета. И уже первое ее заседание, которое состоялось 18 февраля, отличилось беспрецедентным числом участников.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 xml:space="preserve">По замыслу организаторов эта секция должна объединить специалистов правовых служб муниципалитетов Томской области. 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Координатор секции – Пономаренко Михаил Владимирович, начальник отдела правовой и кадровой работы администрации Кожевниковского района. По его словам здесь с помощью мозгового штурма должны «рождаться» новые идеи для решения тех или иных проблем муниципального управления. И первый опыт работы стал этому хорошим подтверждением.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 xml:space="preserve">Поскольку зал Совета не вместил всех желающих поучаствовать в обсуждении, пришлось разбиться по группам и рассмотреть запланированные вопросы параллельно – в разных аудиториях. </w:t>
      </w:r>
    </w:p>
    <w:p w:rsidR="00B70606" w:rsidRDefault="00B70606" w:rsidP="00D42D48">
      <w:pPr>
        <w:pStyle w:val="a3"/>
      </w:pPr>
      <w:r>
        <w:t>Первая группа под руководством М.В. Пономаренко обсудила вопросы, касающиеся деятельности контрактных служб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приглашению Совета в дискуссии участвовал руководитель Томского УФАС России – Шевченко Владимир Иванович.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Муниципалитеты только начинают осваивать 44-й федеральный закон. Вопросов много. Поэтому Совет муниципальных образований открыл на своем сайте специальный раздел, который ведется совместно с томским УФАС.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Вторая группа разобрала проблемы содержания жилых помещений муниципального специализированного жилого фонда, предоставляемых детям – сиротам и детям, оставшимся без попечения родителей. Руководитель группы – Малолетко Александр Александрович, глава Кожевниковского поселения. В качестве «арбитра» выступила Шапарева Маргарита Анатольевна, заместитель начальника департамента по вопросам семьи и детей Томской области.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Подводя итоги работы, можно сказать, что мозговой штурм удался. Группа сформулировала  предложения, которые были высказаны на Съезде Совета муниципальных образований Томской области.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0"/>
      </w:pPr>
      <w:r>
        <w:t>НОВЫЙ УЧЕБНЫЙ ГОД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В Совете стартовал очередной образовательный цикл. На этот раз он посвящен вопросам применения административного законодательства и будет интересен как для секретарей административных комиссий, так и для должностных лиц  органов местного самоуправления, уполномоченных на составление протоколов об административных правонарушениях.</w:t>
      </w:r>
    </w:p>
    <w:p w:rsidR="00B70606" w:rsidRDefault="00B70606" w:rsidP="00D42D48">
      <w:pPr>
        <w:pStyle w:val="a3"/>
      </w:pPr>
      <w:r>
        <w:t>Его программа включила в себя 16 пунктов, от общих принципов административного законодательства  до  детального разбора составов административных правонарушений.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  <w:rPr>
          <w:rFonts w:ascii="Arial Black" w:hAnsi="Arial Black" w:cs="Arial Black"/>
          <w:caps/>
          <w:color w:val="003782"/>
          <w:sz w:val="24"/>
          <w:szCs w:val="24"/>
        </w:rPr>
      </w:pPr>
      <w:r>
        <w:t>Постоянный ведущий семинаров – Скиданов Александр Олегович, руководитель ООО «Центр правовой помощи».</w:t>
      </w:r>
    </w:p>
    <w:p w:rsidR="00B70606" w:rsidRDefault="00B70606" w:rsidP="00D42D48">
      <w:pPr>
        <w:pStyle w:val="a0"/>
      </w:pPr>
    </w:p>
    <w:p w:rsidR="00B70606" w:rsidRDefault="00B70606" w:rsidP="00D42D48">
      <w:pPr>
        <w:pStyle w:val="a0"/>
      </w:pPr>
      <w:r>
        <w:t>день главы в кожевниковском районе</w:t>
      </w:r>
    </w:p>
    <w:p w:rsidR="00B70606" w:rsidRDefault="00B70606" w:rsidP="00D42D48">
      <w:pPr>
        <w:pStyle w:val="a0"/>
      </w:pPr>
    </w:p>
    <w:p w:rsidR="00B70606" w:rsidRDefault="00B70606" w:rsidP="00D42D48">
      <w:pPr>
        <w:pStyle w:val="a3"/>
      </w:pPr>
      <w:r>
        <w:t>Выездной День главы муниципального образования прошел 14 марта в Кожевниковском районе.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Формат мероприятия предполагал не только пленарное заседание, но и совместную «полевую» работу глав муниципалитетов с заместителями Губернатора Томской области.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Первая половина дня была посвящена знакомству с социальными и производственными объектами района. Гости посетили целый ряд важных для территории предприятий: знаменитое ЗАО «Дубровское», ООО «Пивоварня Кожевниково», ООО «Подсобное», созданное дорожниками района.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Особое внимание заслужило крестьянско-фермерское хозяйство Галины Прокопьевой по производству козьего молока в Старой Ювале. Это самое молодое хозяйство района и единственная козоводческая ферма за Уралом.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В 2013 году КФХ стало победителем конкурса предпринимательских проектов в рамках государственной программы «Развитие семейных животноводческих ферм». Из областного бюджета хозяйство получило грант в 6 миллионов рублей, которые вложило в строительство фермы и приобретение ста коз.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Также участники мероприятия побывали и на некоторых социальных объектах.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Недавно в Кожевникове сдали в эксплуатацию 14-квартирный дом, построенный специально для детей-сирот и детей, оставшихся без попечения родителей. Это благоустроенный объект с горячей водой и со всеми удобствами.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Другой объект – новая школа в селе Зайцево. Ее строительство началось в январе 2012 года и обошлось региональному и муниципальному бюджетам в 92 миллиона рублей.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Школа рассчитана на 100 учащихся, наполняемость на сегодняшний день – 84 ребенка. Кроме учебного заведения, в здании разместились фельдшерско-акушерский пункт, сельская библиотека и местный дом культуры.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  <w:ind w:firstLine="0"/>
        <w:rPr>
          <w:b/>
          <w:bCs/>
        </w:rPr>
      </w:pPr>
      <w:r>
        <w:rPr>
          <w:b/>
          <w:bCs/>
        </w:rPr>
        <w:t>Резюмируя общее впечатление от экскурсии, заместитель Губернатора по территориальному развитию и взаимодействию с органами местного самоуправления Анатолий Михайлович Рожков отметил, что Кожевниковский район – это интенсивно развивающийся муниципалитет Томской области.</w:t>
      </w:r>
    </w:p>
    <w:p w:rsidR="00B70606" w:rsidRDefault="00B70606" w:rsidP="00D42D48">
      <w:pPr>
        <w:pStyle w:val="a3"/>
        <w:ind w:firstLine="0"/>
      </w:pPr>
    </w:p>
    <w:p w:rsidR="00B70606" w:rsidRDefault="00B70606" w:rsidP="00D42D48">
      <w:pPr>
        <w:pStyle w:val="a3"/>
      </w:pPr>
      <w:r>
        <w:t xml:space="preserve">– </w:t>
      </w:r>
      <w:r>
        <w:rPr>
          <w:i/>
          <w:iCs/>
        </w:rPr>
        <w:t xml:space="preserve">Конечно, мы собрались здесь не только для того, чтобы кожевниковцы могли похвалиться. Мы должны проанализировать позитивный опыт, а также рассмотреть возможные риски от реализации тех или иных проектов. Важно понимать, что областная власть готова вкладывать серьезные деньги в развитие села, в первую очередь – в создание социальной инфраструктуры, но и районные власти должны работать с нами в одном направлении – </w:t>
      </w:r>
      <w:r>
        <w:t>заметил Анатолий Михайлович.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Вторая часть программы – пленарное заседание. Участники мероприятия обсудили вопросы паспортизации автодорог, формирования эффективных механизмов управления жилищным фондом и проведения капитального ремонта многоквартирных домов, государственной поддержки сельхозтоваропроизводителей, организации транспортировки объектов судебно-медицинских экспертиз, реформирования структуры отрасли культуры, развития физкультуры и спорта.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За рамками предусмотренной программы выступил заместитель губернатора по агропромышленной политике и природопользованию Андрей Филиппович Кнорр. Он отдельно остановился на реализации в нашем регионе лесного законодательства. По его словам, принятые на областном уровне меры привели к сокращению незаконных вырубок леса на треть.</w:t>
      </w:r>
    </w:p>
    <w:p w:rsidR="00B70606" w:rsidRDefault="00B70606" w:rsidP="00D42D48">
      <w:pPr>
        <w:pStyle w:val="a3"/>
      </w:pPr>
    </w:p>
    <w:p w:rsidR="00B70606" w:rsidRDefault="00B70606" w:rsidP="00D42D48">
      <w:pPr>
        <w:pStyle w:val="a3"/>
      </w:pPr>
      <w:r>
        <w:t>Завершился День главы торжественным открытием ХХХ областных зимних сельских спортивных игр «Снежные узоры» на стадионе «Колос».</w:t>
      </w:r>
    </w:p>
    <w:p w:rsidR="00B70606" w:rsidRDefault="00B70606" w:rsidP="00D42D48">
      <w:pPr>
        <w:pStyle w:val="a3"/>
      </w:pPr>
    </w:p>
    <w:p w:rsidR="00B70606" w:rsidRPr="004B05F0" w:rsidRDefault="00B70606" w:rsidP="00D42D48">
      <w:pPr>
        <w:pStyle w:val="a2"/>
        <w:rPr>
          <w:rFonts w:ascii="Times New Roman" w:hAnsi="Times New Roman" w:cs="Times New Roman"/>
          <w:b w:val="0"/>
          <w:bCs w:val="0"/>
          <w:i w:val="0"/>
          <w:iCs w:val="0"/>
          <w:caps/>
          <w:color w:val="auto"/>
          <w:sz w:val="18"/>
          <w:szCs w:val="18"/>
        </w:rPr>
      </w:pPr>
      <w:r>
        <w:t>Специально к юбилейным играм в Кожевниково построили современный хоккейный корт с пластиковыми бортами и освещением, усовершенствовали стрелковый тир и лыжную трассу, отремонтировали раздевалки, закупили теннисные столы и прочее спортивное оборудование.</w:t>
      </w:r>
    </w:p>
    <w:sectPr w:rsidR="00B70606" w:rsidRPr="004B05F0" w:rsidSect="00600C16">
      <w:headerReference w:type="default" r:id="rId6"/>
      <w:footerReference w:type="default" r:id="rId7"/>
      <w:pgSz w:w="11907" w:h="16839" w:code="9"/>
      <w:pgMar w:top="1390" w:right="567" w:bottom="993" w:left="567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06" w:rsidRDefault="00B70606" w:rsidP="002868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0606" w:rsidRDefault="00B70606" w:rsidP="002868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 Cond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cadem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06" w:rsidRPr="00AA0519" w:rsidRDefault="00B70606" w:rsidP="00202987">
    <w:pPr>
      <w:pStyle w:val="Header"/>
      <w:ind w:left="0"/>
      <w:jc w:val="right"/>
      <w:rPr>
        <w:rFonts w:ascii="Times New Roman" w:hAnsi="Times New Roman" w:cs="Times New Roman"/>
        <w:color w:val="808080"/>
        <w:sz w:val="24"/>
        <w:szCs w:val="24"/>
      </w:rPr>
    </w:pPr>
  </w:p>
  <w:p w:rsidR="00B70606" w:rsidRDefault="00B70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06" w:rsidRDefault="00B70606" w:rsidP="002868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0606" w:rsidRDefault="00B70606" w:rsidP="002868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06" w:rsidRDefault="00B70606" w:rsidP="00AA0519">
    <w:pPr>
      <w:pStyle w:val="Header"/>
      <w:tabs>
        <w:tab w:val="left" w:pos="708"/>
      </w:tabs>
      <w:ind w:left="0"/>
      <w:jc w:val="right"/>
      <w:rPr>
        <w:rFonts w:ascii="Myriad Pro Cond Cyr" w:hAnsi="Myriad Pro Cond Cyr" w:cs="Myriad Pro Cond Cyr"/>
        <w:color w:val="808080"/>
        <w:sz w:val="24"/>
        <w:szCs w:val="24"/>
      </w:rPr>
    </w:pPr>
    <w:r>
      <w:rPr>
        <w:rFonts w:ascii="Myriad Pro Cond Cyr" w:hAnsi="Myriad Pro Cond Cyr" w:cs="Myriad Pro Cond Cyr"/>
        <w:color w:val="808080"/>
        <w:sz w:val="24"/>
        <w:szCs w:val="24"/>
      </w:rPr>
      <w:t>ВЕСТНИК</w:t>
    </w:r>
    <w:r>
      <w:rPr>
        <w:rFonts w:ascii="Academia" w:hAnsi="Academia" w:cs="Academia"/>
        <w:color w:val="808080"/>
        <w:sz w:val="24"/>
        <w:szCs w:val="24"/>
      </w:rPr>
      <w:t xml:space="preserve">  </w:t>
    </w:r>
    <w:r>
      <w:rPr>
        <w:rFonts w:ascii="Myriad Pro Cond Cyr" w:hAnsi="Myriad Pro Cond Cyr" w:cs="Myriad Pro Cond Cyr"/>
        <w:color w:val="808080"/>
        <w:sz w:val="24"/>
        <w:szCs w:val="24"/>
      </w:rPr>
      <w:t>№</w:t>
    </w:r>
    <w:r>
      <w:rPr>
        <w:rFonts w:ascii="Academia" w:hAnsi="Academia" w:cs="Academia"/>
        <w:color w:val="808080"/>
        <w:sz w:val="24"/>
        <w:szCs w:val="24"/>
      </w:rPr>
      <w:t xml:space="preserve">1 2014          </w:t>
    </w:r>
    <w:r>
      <w:rPr>
        <w:rFonts w:ascii="Times New Roman" w:hAnsi="Times New Roman" w:cs="Times New Roman"/>
        <w:color w:val="808080"/>
        <w:sz w:val="24"/>
        <w:szCs w:val="24"/>
      </w:rPr>
      <w:t xml:space="preserve">                                                             </w:t>
    </w:r>
    <w:r>
      <w:rPr>
        <w:color w:val="808080"/>
        <w:sz w:val="24"/>
        <w:szCs w:val="24"/>
      </w:rPr>
      <w:t xml:space="preserve"> </w:t>
    </w:r>
    <w:r>
      <w:rPr>
        <w:rFonts w:ascii="Myriad Pro Cond Cyr" w:hAnsi="Myriad Pro Cond Cyr" w:cs="Myriad Pro Cond Cyr"/>
        <w:color w:val="808080"/>
        <w:sz w:val="24"/>
        <w:szCs w:val="24"/>
      </w:rPr>
      <w:t>ЖУРНАЛ</w:t>
    </w:r>
    <w:r>
      <w:rPr>
        <w:rFonts w:ascii="Academia" w:hAnsi="Academia" w:cs="Academia"/>
        <w:color w:val="808080"/>
        <w:sz w:val="24"/>
        <w:szCs w:val="24"/>
      </w:rPr>
      <w:t xml:space="preserve"> </w:t>
    </w:r>
    <w:r>
      <w:rPr>
        <w:rFonts w:ascii="Myriad Pro Cond Cyr" w:hAnsi="Myriad Pro Cond Cyr" w:cs="Myriad Pro Cond Cyr"/>
        <w:color w:val="808080"/>
        <w:sz w:val="24"/>
        <w:szCs w:val="24"/>
      </w:rPr>
      <w:t>АССОЦИАЦИИ</w:t>
    </w:r>
    <w:r>
      <w:rPr>
        <w:rFonts w:ascii="Academia" w:hAnsi="Academia" w:cs="Academia"/>
        <w:color w:val="808080"/>
        <w:sz w:val="24"/>
        <w:szCs w:val="24"/>
      </w:rPr>
      <w:t xml:space="preserve"> «</w:t>
    </w:r>
    <w:r>
      <w:rPr>
        <w:rFonts w:ascii="Myriad Pro Cond Cyr" w:hAnsi="Myriad Pro Cond Cyr" w:cs="Myriad Pro Cond Cyr"/>
        <w:color w:val="808080"/>
        <w:sz w:val="24"/>
        <w:szCs w:val="24"/>
      </w:rPr>
      <w:t xml:space="preserve">СОВЕТ </w:t>
    </w:r>
  </w:p>
  <w:p w:rsidR="00B70606" w:rsidRDefault="00B70606" w:rsidP="00AA0519">
    <w:pPr>
      <w:pStyle w:val="Header"/>
      <w:tabs>
        <w:tab w:val="left" w:pos="708"/>
      </w:tabs>
      <w:ind w:left="0"/>
      <w:jc w:val="right"/>
      <w:rPr>
        <w:rFonts w:ascii="Myriad Pro Cond Cyr" w:hAnsi="Myriad Pro Cond Cyr" w:cs="Myriad Pro Cond Cyr"/>
        <w:color w:val="808080"/>
        <w:sz w:val="24"/>
        <w:szCs w:val="24"/>
      </w:rPr>
    </w:pPr>
    <w:r>
      <w:rPr>
        <w:rFonts w:ascii="Myriad Pro Cond Cyr" w:hAnsi="Myriad Pro Cond Cyr" w:cs="Myriad Pro Cond Cyr"/>
        <w:color w:val="808080"/>
        <w:sz w:val="24"/>
        <w:szCs w:val="24"/>
      </w:rPr>
      <w:t xml:space="preserve">МУНИЦИПАЛЬНЫХ ОБРАЗОВАНИЙ </w:t>
    </w:r>
  </w:p>
  <w:p w:rsidR="00B70606" w:rsidRPr="00600C16" w:rsidRDefault="00B70606" w:rsidP="00AA0519">
    <w:pPr>
      <w:pStyle w:val="Header"/>
      <w:ind w:left="0"/>
      <w:jc w:val="right"/>
      <w:rPr>
        <w:rFonts w:ascii="Academia" w:hAnsi="Academia" w:cs="Academia"/>
        <w:color w:val="808080"/>
        <w:sz w:val="24"/>
        <w:szCs w:val="24"/>
      </w:rPr>
    </w:pPr>
    <w:r>
      <w:rPr>
        <w:rFonts w:ascii="Myriad Pro Cond Cyr" w:hAnsi="Myriad Pro Cond Cyr" w:cs="Myriad Pro Cond Cyr"/>
        <w:caps/>
        <w:color w:val="808080"/>
        <w:sz w:val="24"/>
        <w:szCs w:val="24"/>
      </w:rPr>
      <w:t>томской области</w:t>
    </w:r>
    <w:r>
      <w:rPr>
        <w:rFonts w:ascii="Academia" w:hAnsi="Academia" w:cs="Academia"/>
        <w:color w:val="808080"/>
        <w:sz w:val="24"/>
        <w:szCs w:val="24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8CF"/>
    <w:rsid w:val="000B3844"/>
    <w:rsid w:val="000B4F4B"/>
    <w:rsid w:val="000C3C42"/>
    <w:rsid w:val="001C5B12"/>
    <w:rsid w:val="001D3A4E"/>
    <w:rsid w:val="00202070"/>
    <w:rsid w:val="00202987"/>
    <w:rsid w:val="002546AA"/>
    <w:rsid w:val="00270ADC"/>
    <w:rsid w:val="002868CF"/>
    <w:rsid w:val="0029469C"/>
    <w:rsid w:val="00354B27"/>
    <w:rsid w:val="00387B45"/>
    <w:rsid w:val="003E0132"/>
    <w:rsid w:val="00400F4A"/>
    <w:rsid w:val="004532D7"/>
    <w:rsid w:val="00463A59"/>
    <w:rsid w:val="00471A91"/>
    <w:rsid w:val="00483CD0"/>
    <w:rsid w:val="004943CA"/>
    <w:rsid w:val="004A68A1"/>
    <w:rsid w:val="004B05F0"/>
    <w:rsid w:val="00511148"/>
    <w:rsid w:val="005332DA"/>
    <w:rsid w:val="00590747"/>
    <w:rsid w:val="005948FE"/>
    <w:rsid w:val="00600C16"/>
    <w:rsid w:val="00652A4E"/>
    <w:rsid w:val="00724244"/>
    <w:rsid w:val="00747464"/>
    <w:rsid w:val="00774A04"/>
    <w:rsid w:val="00802D21"/>
    <w:rsid w:val="00834B1F"/>
    <w:rsid w:val="00840129"/>
    <w:rsid w:val="008B2592"/>
    <w:rsid w:val="008D11BA"/>
    <w:rsid w:val="00922C89"/>
    <w:rsid w:val="00931ADD"/>
    <w:rsid w:val="009B2B5E"/>
    <w:rsid w:val="00A04EE8"/>
    <w:rsid w:val="00A222BB"/>
    <w:rsid w:val="00A230FD"/>
    <w:rsid w:val="00A44C66"/>
    <w:rsid w:val="00AA0519"/>
    <w:rsid w:val="00AB572A"/>
    <w:rsid w:val="00AD4541"/>
    <w:rsid w:val="00B2414D"/>
    <w:rsid w:val="00B36CBF"/>
    <w:rsid w:val="00B70606"/>
    <w:rsid w:val="00B76FF2"/>
    <w:rsid w:val="00BC4599"/>
    <w:rsid w:val="00BD5D4F"/>
    <w:rsid w:val="00BD6ABF"/>
    <w:rsid w:val="00D006A8"/>
    <w:rsid w:val="00D068AD"/>
    <w:rsid w:val="00D13627"/>
    <w:rsid w:val="00D15695"/>
    <w:rsid w:val="00D214F0"/>
    <w:rsid w:val="00D2219A"/>
    <w:rsid w:val="00D42D48"/>
    <w:rsid w:val="00D51C82"/>
    <w:rsid w:val="00DE16F9"/>
    <w:rsid w:val="00DF005D"/>
    <w:rsid w:val="00EA7590"/>
    <w:rsid w:val="00EC0634"/>
    <w:rsid w:val="00EC28AE"/>
    <w:rsid w:val="00EF66F0"/>
    <w:rsid w:val="00FB0EB6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5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="Calibri" w:hAnsi="Arial Black" w:cs="Arial Black"/>
      <w:caps/>
      <w:color w:val="003782"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8CF"/>
  </w:style>
  <w:style w:type="paragraph" w:styleId="Footer">
    <w:name w:val="footer"/>
    <w:basedOn w:val="Normal"/>
    <w:link w:val="FooterChar"/>
    <w:uiPriority w:val="99"/>
    <w:semiHidden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8CF"/>
  </w:style>
  <w:style w:type="paragraph" w:customStyle="1" w:styleId="a0">
    <w:name w:val="Дайджест"/>
    <w:basedOn w:val="a"/>
    <w:uiPriority w:val="99"/>
    <w:rsid w:val="002868CF"/>
    <w:rPr>
      <w:sz w:val="24"/>
      <w:szCs w:val="24"/>
    </w:rPr>
  </w:style>
  <w:style w:type="paragraph" w:customStyle="1" w:styleId="a1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uiPriority w:val="99"/>
    <w:rsid w:val="002868CF"/>
    <w:pPr>
      <w:autoSpaceDE w:val="0"/>
      <w:autoSpaceDN w:val="0"/>
      <w:adjustRightInd w:val="0"/>
      <w:spacing w:line="288" w:lineRule="auto"/>
      <w:textAlignment w:val="center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a2">
    <w:name w:val="первый абзац"/>
    <w:basedOn w:val="NoParagraphStyle"/>
    <w:uiPriority w:val="99"/>
    <w:rsid w:val="002868CF"/>
    <w:pPr>
      <w:ind w:firstLine="283"/>
      <w:jc w:val="both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3">
    <w:name w:val="основной текст статьи"/>
    <w:basedOn w:val="NoParagraphStyle"/>
    <w:uiPriority w:val="99"/>
    <w:rsid w:val="002868CF"/>
    <w:pPr>
      <w:ind w:firstLine="283"/>
      <w:jc w:val="both"/>
    </w:pPr>
    <w:rPr>
      <w:rFonts w:ascii="Arial" w:hAnsi="Arial" w:cs="Arial"/>
      <w:sz w:val="20"/>
      <w:szCs w:val="20"/>
      <w:lang w:val="ru-RU"/>
    </w:rPr>
  </w:style>
  <w:style w:type="paragraph" w:customStyle="1" w:styleId="a4">
    <w:name w:val="авторство"/>
    <w:basedOn w:val="a3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5">
    <w:name w:val="белая сноска"/>
    <w:basedOn w:val="Normal"/>
    <w:uiPriority w:val="99"/>
    <w:rsid w:val="00EF66F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eastAsia="Calibri" w:hAnsi="Arial" w:cs="Arial"/>
      <w:color w:val="FFFFFF"/>
      <w:sz w:val="18"/>
      <w:szCs w:val="18"/>
      <w:lang w:eastAsia="en-US"/>
    </w:rPr>
  </w:style>
  <w:style w:type="paragraph" w:customStyle="1" w:styleId="a6">
    <w:name w:val="КРАСНАЯ СНОСКА"/>
    <w:basedOn w:val="a3"/>
    <w:uiPriority w:val="99"/>
    <w:rsid w:val="004A68A1"/>
    <w:rPr>
      <w:color w:val="CC071D"/>
    </w:rPr>
  </w:style>
  <w:style w:type="paragraph" w:customStyle="1" w:styleId="a7">
    <w:name w:val="подзаголовок"/>
    <w:basedOn w:val="a1"/>
    <w:uiPriority w:val="99"/>
    <w:rsid w:val="00D51C82"/>
    <w:pPr>
      <w:jc w:val="right"/>
    </w:pPr>
  </w:style>
  <w:style w:type="paragraph" w:customStyle="1" w:styleId="a8">
    <w:name w:val="выделенный текст"/>
    <w:basedOn w:val="NoParagraphStyle"/>
    <w:uiPriority w:val="99"/>
    <w:rsid w:val="00D42D48"/>
    <w:pPr>
      <w:jc w:val="both"/>
    </w:pPr>
    <w:rPr>
      <w:rFonts w:ascii="Arial" w:hAnsi="Arial" w:cs="Arial"/>
      <w:b/>
      <w:bCs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1588</Words>
  <Characters>9052</Characters>
  <Application>Microsoft Office Outlook</Application>
  <DocSecurity>0</DocSecurity>
  <Lines>0</Lines>
  <Paragraphs>0</Paragraphs>
  <ScaleCrop>false</ScaleCrop>
  <Company>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Customer</cp:lastModifiedBy>
  <cp:revision>7</cp:revision>
  <dcterms:created xsi:type="dcterms:W3CDTF">2014-09-12T07:49:00Z</dcterms:created>
  <dcterms:modified xsi:type="dcterms:W3CDTF">2014-09-18T18:43:00Z</dcterms:modified>
</cp:coreProperties>
</file>