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A" w:rsidRDefault="0078305A" w:rsidP="0012103B">
      <w:pPr>
        <w:pStyle w:val="a"/>
        <w:spacing w:before="240" w:line="240" w:lineRule="auto"/>
        <w:ind w:left="284"/>
      </w:pPr>
      <w:r>
        <w:t>земельное законодательство</w:t>
      </w:r>
    </w:p>
    <w:p w:rsidR="0078305A" w:rsidRDefault="0078305A" w:rsidP="000B4F4B">
      <w:pPr>
        <w:pStyle w:val="a2"/>
        <w:spacing w:line="240" w:lineRule="auto"/>
        <w:rPr>
          <w:rFonts w:ascii="Arial Black" w:hAnsi="Arial Black" w:cs="Arial Black"/>
          <w:b w:val="0"/>
          <w:bCs w:val="0"/>
          <w:i w:val="0"/>
          <w:iCs w:val="0"/>
          <w:caps/>
          <w:color w:val="003782"/>
          <w:sz w:val="48"/>
          <w:szCs w:val="48"/>
        </w:rPr>
      </w:pPr>
      <w:r w:rsidRPr="000B4F4B">
        <w:rPr>
          <w:rFonts w:ascii="Arial Black" w:hAnsi="Arial Black" w:cs="Arial Black"/>
          <w:b w:val="0"/>
          <w:bCs w:val="0"/>
          <w:i w:val="0"/>
          <w:iCs w:val="0"/>
          <w:caps/>
          <w:color w:val="003782"/>
          <w:sz w:val="48"/>
          <w:szCs w:val="48"/>
        </w:rPr>
        <w:t>избавляется от пробелов</w:t>
      </w:r>
    </w:p>
    <w:p w:rsidR="0078305A" w:rsidRPr="0012103B" w:rsidRDefault="0078305A" w:rsidP="000B4F4B">
      <w:pPr>
        <w:pStyle w:val="a2"/>
        <w:spacing w:line="240" w:lineRule="auto"/>
        <w:rPr>
          <w:rFonts w:ascii="Arial Black" w:hAnsi="Arial Black" w:cs="Arial Black"/>
          <w:b w:val="0"/>
          <w:bCs w:val="0"/>
          <w:i w:val="0"/>
          <w:iCs w:val="0"/>
          <w:caps/>
          <w:color w:val="003782"/>
          <w:sz w:val="40"/>
          <w:szCs w:val="40"/>
        </w:rPr>
      </w:pPr>
    </w:p>
    <w:p w:rsidR="0078305A" w:rsidRDefault="0078305A" w:rsidP="000B4F4B">
      <w:pPr>
        <w:pStyle w:val="a2"/>
      </w:pPr>
      <w:r>
        <w:t>В настоящее время нормативно-правовое регулирование порядка предоставления земельных участков, в том числе в целях строительства, довольно противоречиво и имеет пробелы, что создает условия для различных злоупотреблений, как со стороны органов власти, так и со стороны граждан.</w:t>
      </w:r>
    </w:p>
    <w:p w:rsidR="0078305A" w:rsidRDefault="0078305A" w:rsidP="000B4F4B">
      <w:pPr>
        <w:pStyle w:val="a2"/>
      </w:pPr>
    </w:p>
    <w:p w:rsidR="0078305A" w:rsidRDefault="0078305A" w:rsidP="000B4F4B">
      <w:pPr>
        <w:pStyle w:val="a2"/>
      </w:pPr>
      <w:r>
        <w:t>Последние три месяца показали, что вопросами наведения порядка в этой области озабочены на всех уровнях: муниципальном, региональном и федеральном.</w:t>
      </w:r>
    </w:p>
    <w:p w:rsidR="0078305A" w:rsidRDefault="0078305A" w:rsidP="000B4F4B">
      <w:pPr>
        <w:pStyle w:val="a3"/>
        <w:rPr>
          <w:sz w:val="40"/>
          <w:szCs w:val="40"/>
        </w:rPr>
      </w:pPr>
    </w:p>
    <w:p w:rsidR="0078305A" w:rsidRDefault="0078305A" w:rsidP="000B4F4B">
      <w:pPr>
        <w:pStyle w:val="a1"/>
        <w:rPr>
          <w:caps/>
        </w:rPr>
      </w:pPr>
      <w:r>
        <w:rPr>
          <w:caps/>
        </w:rPr>
        <w:t>муниципальные  инициативы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Земельного вопроса коснулись сразу три законодательные инициативы, внесенные в Законодательную Думу Томской области нынешней весной. Авторами законопроектов стали Дума Томского района и Дума города Томска.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В частности, оба инициатора предложили внести изменения в статью 15.1 закона Томской области №74-ОЗ от 04.10.2002 «О предоставлении и изъятии земельных участков в Томской области», увеличив выкупную стоимость земли для садоводства, огородничества и дачного хозяйства. При этом взгляд на принципы установления цены оказался разным.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Чтобы сблизить позиции муниципалитетов и выработать единый подход, данный вопрос был вынесен на обсуждение Комиссии Совета по правовым вопросам и межмуниципальному сотрудничеству, заседание которой прошло 5 июня под председательством главы Томского района Владимира Евгеньевича Лукьянова.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Если говорить о сути проблемы, отметим, что выкупная цена садовых, огородных и дачных земельных участков по сравнению с ценой земельных участков для жилищного строительства сегодня крайне незначительна.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При этом правовой режим этих участков не запрещает возведения на них жилых строений. </w:t>
      </w:r>
    </w:p>
    <w:p w:rsidR="0078305A" w:rsidRDefault="0078305A" w:rsidP="000B4F4B">
      <w:pPr>
        <w:pStyle w:val="a3"/>
      </w:pPr>
      <w:r>
        <w:t>В результате складывается благоприятная среда для развития спекулятивного рынка земли.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По словам В.Е. Лукьянова, в Томском районе, начиная с 2012 года, было продано 690 таких участков, стоимость одного варьируется от 150 до 850 рублей.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  <w:rPr>
          <w:i/>
          <w:iCs/>
        </w:rPr>
      </w:pPr>
      <w:r>
        <w:rPr>
          <w:i/>
          <w:iCs/>
        </w:rPr>
        <w:t xml:space="preserve">– Дешевая земля попадает в поле зрения профессиональных перекупщиков: наметилась тенденция к массовым перепродажам. Таким образом, земельный фонд сокращается, а число людей, действительно нуждающихся в получении земли, сохраняется и даже увеличивается. Помимо этого снижаются и потенциальные доходы местного бюджета. Ликвидировать сложившийся дисбаланс и призвана наша инициатива.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Представляя в ходе заседания Комиссии итоги мониторинга законодательных инициатив, Исполнительный директор Совета Лиманская Наталья Викторовна отметила, что порядок установления стоимости земли должен быть более гибким и учитывать специфику каждой территории.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Единая цена на земельный участок в городе Томске и муниципальных районах Томской области приведет к тому, что для одних приобретателей цена будет чересчур низкой, для других – чрезмерно высокой.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В итоге все участники сошлись во мнении, что данный вопрос целесообразнее было бы регулировать на уровне муниципальных образований. Тем более, что с первого января 2014 года доходы от продажи земельных участков, государственная собственность на которые не разграничена, поступают в местные бюджеты.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Данный подход нашел отражение в законопроекте, предложенном Советом как альтернатива ранее представленным инициативам.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В частности, предлагается внести изменения, определив выкупную цену земельных участков равной выкупной цене земельных участков, находящихся в муниципальной собственности муниципального района (городского округа). Это касается как земельных участков предоставляемых для ведения садоводства, огородничества, дачного хозяйства, так и земельных участков, предоставляемых для ведения личного подсобного хозяйства.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Другая законодательная инициатива Думы Томского района касается внесения изменений в часть 4 статьи 15 Закона Томской области от 04.10.2002 № 74-ОЗ «О предоставлении и изъятии земельных участков в Томской области».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Существующая в России двухуровневая система местного самоуправления, при которой один вид муниципальных образований (муниципальный район) может содержать в себе другие виды (сельские поселения, городские поселения) породила проблему в применении данной нормы.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Действующая редакция устанавливает выкупную цену земельных участков, государственная собственность на которые не разграничена, и на которых расположены здания, строения, сооружения, равной выкупной цене земельных участков, находящихся в муниципальной собственности на территории соответствующего муниципального образования.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Остаётся неясным, какую конкретно выкупную цену необходимо применять: установленную для муниципальной собственности муниципального района или установленную для муниципальной собственности поселений, входящих в состав районов.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Предлагаемый Думой Томского района законопроект содержит прямое упоминание о тех видах муниципальных образований, на которые следует ориентироваться при определении выкупной цены: муниципальный район, городской округ.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 xml:space="preserve">Еще одна инициатива Томского района, направленная на повышение эффективности использования земли касается порядка выкупа земельных участков сельскохозяйственного назначения. Законопроект «О внесении изменений в статью 9 Закона Томской области «Об обороте земель сельскохозяйственного назначения в Томской области» внесен в региональный парламент. </w:t>
      </w:r>
    </w:p>
    <w:p w:rsidR="0078305A" w:rsidRDefault="0078305A" w:rsidP="000B4F4B">
      <w:pPr>
        <w:pStyle w:val="a3"/>
      </w:pPr>
    </w:p>
    <w:p w:rsidR="0078305A" w:rsidRDefault="0078305A" w:rsidP="000B4F4B">
      <w:pPr>
        <w:pStyle w:val="a3"/>
      </w:pPr>
      <w:r>
        <w:t>Муниципалитеты поддержали предложение Томского района об установлении более высокого предела стоимости, по которой могут приобретаться в собственность земельные участки из состава земель сельскохозяйственного назначения.</w:t>
      </w:r>
    </w:p>
    <w:p w:rsidR="0078305A" w:rsidRDefault="0078305A" w:rsidP="000B4F4B">
      <w:pPr>
        <w:pStyle w:val="a1"/>
        <w:rPr>
          <w:caps/>
        </w:rPr>
      </w:pPr>
    </w:p>
    <w:p w:rsidR="0078305A" w:rsidRDefault="0078305A" w:rsidP="000B4F4B">
      <w:pPr>
        <w:pStyle w:val="a1"/>
        <w:rPr>
          <w:caps/>
        </w:rPr>
      </w:pPr>
    </w:p>
    <w:p w:rsidR="0078305A" w:rsidRDefault="0078305A" w:rsidP="000B4F4B">
      <w:pPr>
        <w:pStyle w:val="a1"/>
        <w:rPr>
          <w:caps/>
        </w:rPr>
      </w:pPr>
    </w:p>
    <w:p w:rsidR="0078305A" w:rsidRDefault="0078305A" w:rsidP="000B4F4B">
      <w:pPr>
        <w:pStyle w:val="a1"/>
        <w:rPr>
          <w:caps/>
        </w:rPr>
      </w:pPr>
    </w:p>
    <w:p w:rsidR="0078305A" w:rsidRDefault="0078305A" w:rsidP="000B4F4B">
      <w:pPr>
        <w:pStyle w:val="a1"/>
        <w:rPr>
          <w:caps/>
        </w:rPr>
      </w:pPr>
      <w:r>
        <w:rPr>
          <w:caps/>
        </w:rPr>
        <w:t>гос регулирование. комментарии  от томского уфас</w:t>
      </w:r>
    </w:p>
    <w:p w:rsidR="0078305A" w:rsidRDefault="0078305A" w:rsidP="000B4F4B">
      <w:pPr>
        <w:pStyle w:val="a3"/>
        <w:rPr>
          <w:sz w:val="16"/>
          <w:szCs w:val="16"/>
        </w:rPr>
      </w:pPr>
    </w:p>
    <w:p w:rsidR="0078305A" w:rsidRDefault="0078305A" w:rsidP="000B4F4B">
      <w:pPr>
        <w:pStyle w:val="a3"/>
      </w:pPr>
      <w:r>
        <w:t>Федеральным законом от 23.06.2014 № 171-ФЗ в Земельный кодекс РФ и отдельные законодательные акты РФ внесены изменения в части совершенствования порядка предоставления земельных участков, находящихся в государственной или муниципальной собственности.</w:t>
      </w:r>
    </w:p>
    <w:p w:rsidR="0078305A" w:rsidRDefault="0078305A" w:rsidP="000B4F4B">
      <w:pPr>
        <w:pStyle w:val="a3"/>
        <w:rPr>
          <w:sz w:val="16"/>
          <w:szCs w:val="16"/>
        </w:rPr>
      </w:pPr>
    </w:p>
    <w:p w:rsidR="0078305A" w:rsidRDefault="0078305A" w:rsidP="000B4F4B">
      <w:pPr>
        <w:pStyle w:val="a3"/>
      </w:pPr>
      <w:r>
        <w:t>Законом планируется усовершенствовать действующий порядок предоставления земельных участков, сделав его максимально прозрачным, обеспечив равный доступ к земельным ресурсам для всех за счет проведения аукциона по продаже земельного участка и аукциона на право заключения договора аренды земельного участка в электронной форме, порядок проведения которого будет установлен федеральным законом.</w:t>
      </w:r>
    </w:p>
    <w:p w:rsidR="0078305A" w:rsidRDefault="0078305A" w:rsidP="000B4F4B">
      <w:pPr>
        <w:pStyle w:val="a3"/>
        <w:rPr>
          <w:sz w:val="16"/>
          <w:szCs w:val="16"/>
        </w:rPr>
      </w:pPr>
    </w:p>
    <w:p w:rsidR="0078305A" w:rsidRDefault="0078305A" w:rsidP="000B4F4B">
      <w:pPr>
        <w:pStyle w:val="a3"/>
      </w:pPr>
      <w:r>
        <w:t>Изменения не предусматривают возможность предоставления земельных участков без проведения торгов, за исключением закрытого перечня случаев, непосредственно установленных законом.</w:t>
      </w:r>
    </w:p>
    <w:p w:rsidR="0078305A" w:rsidRDefault="0078305A" w:rsidP="000B4F4B">
      <w:pPr>
        <w:pStyle w:val="a3"/>
        <w:rPr>
          <w:sz w:val="16"/>
          <w:szCs w:val="16"/>
        </w:rPr>
      </w:pPr>
    </w:p>
    <w:p w:rsidR="0078305A" w:rsidRDefault="0078305A" w:rsidP="000B4F4B">
      <w:pPr>
        <w:pStyle w:val="a3"/>
      </w:pPr>
      <w:r>
        <w:t>Аукцион не проводится в электронной форме в случаях, если земельный участок предоставляется гражданам для ИЖС, ведения ЛПХ, дачного хозяйства, садоводства, гражданам или КФХ для осуществления хозяйством его деятельности либо предназначен для сельскохозяйственного производства.</w:t>
      </w:r>
    </w:p>
    <w:p w:rsidR="0078305A" w:rsidRDefault="0078305A" w:rsidP="000B4F4B">
      <w:pPr>
        <w:pStyle w:val="a3"/>
        <w:rPr>
          <w:sz w:val="16"/>
          <w:szCs w:val="16"/>
        </w:rPr>
      </w:pPr>
    </w:p>
    <w:p w:rsidR="0078305A" w:rsidRDefault="0078305A" w:rsidP="000B4F4B">
      <w:pPr>
        <w:pStyle w:val="a3"/>
      </w:pPr>
      <w:r>
        <w:t>Ожидается, что новый закон позволит устранить административные барьеры при взаимодействии с лицами, заинтересованными в предоставлении земельных участков, будет способствовать реализации инвестиционных проектов, в том числе в сфере жилищного и иных видов строительства.</w:t>
      </w:r>
    </w:p>
    <w:p w:rsidR="0078305A" w:rsidRDefault="0078305A" w:rsidP="000B4F4B">
      <w:pPr>
        <w:pStyle w:val="a3"/>
      </w:pPr>
    </w:p>
    <w:p w:rsidR="0078305A" w:rsidRPr="005948FE" w:rsidRDefault="0078305A" w:rsidP="000B4F4B">
      <w:pPr>
        <w:pStyle w:val="a7"/>
        <w:jc w:val="left"/>
        <w:rPr>
          <w:rFonts w:ascii="Arial" w:hAnsi="Arial" w:cs="Arial"/>
          <w:color w:val="000000"/>
          <w:sz w:val="20"/>
          <w:szCs w:val="20"/>
        </w:rPr>
      </w:pPr>
      <w:r w:rsidRPr="000B4F4B">
        <w:rPr>
          <w:rFonts w:ascii="Arial" w:hAnsi="Arial" w:cs="Arial"/>
          <w:color w:val="000000"/>
          <w:sz w:val="20"/>
          <w:szCs w:val="20"/>
        </w:rPr>
        <w:t>Указанный Закон вступит в силу с 01.03.2015, за исключением отдельных положений.</w:t>
      </w:r>
    </w:p>
    <w:sectPr w:rsidR="0078305A" w:rsidRPr="005948FE" w:rsidSect="0012103B">
      <w:headerReference w:type="default" r:id="rId6"/>
      <w:pgSz w:w="11907" w:h="16839" w:code="9"/>
      <w:pgMar w:top="1389" w:right="851" w:bottom="992" w:left="851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5A" w:rsidRDefault="0078305A" w:rsidP="002868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05A" w:rsidRDefault="0078305A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5A" w:rsidRDefault="0078305A" w:rsidP="002868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05A" w:rsidRDefault="0078305A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5A" w:rsidRDefault="0078305A" w:rsidP="0012103B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№2</w:t>
    </w:r>
    <w:r>
      <w:rPr>
        <w:rFonts w:ascii="Academia" w:hAnsi="Academia" w:cs="Academia"/>
        <w:color w:val="808080"/>
        <w:sz w:val="24"/>
        <w:szCs w:val="24"/>
      </w:rPr>
      <w:t xml:space="preserve"> 2014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</w:t>
    </w:r>
    <w:r>
      <w:rPr>
        <w:rFonts w:ascii="Academia" w:hAnsi="Academia" w:cs="Academia"/>
        <w:color w:val="808080"/>
        <w:sz w:val="24"/>
        <w:szCs w:val="24"/>
      </w:rPr>
      <w:t xml:space="preserve">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78305A" w:rsidRDefault="0078305A" w:rsidP="0012103B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78305A" w:rsidRDefault="0078305A" w:rsidP="0012103B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  <w:p w:rsidR="0078305A" w:rsidRPr="007657C6" w:rsidRDefault="0078305A" w:rsidP="009C4F8B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091188"/>
    <w:rsid w:val="000B4F4B"/>
    <w:rsid w:val="000B7D1E"/>
    <w:rsid w:val="000C3C42"/>
    <w:rsid w:val="0012103B"/>
    <w:rsid w:val="001A61CF"/>
    <w:rsid w:val="00202070"/>
    <w:rsid w:val="00270ADC"/>
    <w:rsid w:val="002868CF"/>
    <w:rsid w:val="00354B27"/>
    <w:rsid w:val="00387B45"/>
    <w:rsid w:val="003E0132"/>
    <w:rsid w:val="00400F4A"/>
    <w:rsid w:val="00463A59"/>
    <w:rsid w:val="00471A91"/>
    <w:rsid w:val="00483CD0"/>
    <w:rsid w:val="004943CA"/>
    <w:rsid w:val="004A68A1"/>
    <w:rsid w:val="005948FE"/>
    <w:rsid w:val="0073488B"/>
    <w:rsid w:val="007657C6"/>
    <w:rsid w:val="0078305A"/>
    <w:rsid w:val="00875CDD"/>
    <w:rsid w:val="008B2592"/>
    <w:rsid w:val="008D11BA"/>
    <w:rsid w:val="00922C89"/>
    <w:rsid w:val="009B7F80"/>
    <w:rsid w:val="009C4F8B"/>
    <w:rsid w:val="00A04EE8"/>
    <w:rsid w:val="00A222BB"/>
    <w:rsid w:val="00A44C66"/>
    <w:rsid w:val="00AD4541"/>
    <w:rsid w:val="00AF7A97"/>
    <w:rsid w:val="00B60181"/>
    <w:rsid w:val="00B76FF2"/>
    <w:rsid w:val="00BC4599"/>
    <w:rsid w:val="00BD6ABF"/>
    <w:rsid w:val="00D068AD"/>
    <w:rsid w:val="00D13627"/>
    <w:rsid w:val="00D214F0"/>
    <w:rsid w:val="00D51C82"/>
    <w:rsid w:val="00DE16F9"/>
    <w:rsid w:val="00DF005D"/>
    <w:rsid w:val="00EC0634"/>
    <w:rsid w:val="00E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="Calibri" w:hAnsi="Arial Black" w:cs="Arial Black"/>
      <w:caps/>
      <w:color w:val="003782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Calibri" w:hAnsi="Arial" w:cs="Arial"/>
      <w:color w:val="FFFFFF"/>
      <w:sz w:val="18"/>
      <w:szCs w:val="18"/>
      <w:lang w:eastAsia="en-US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1025</Words>
  <Characters>5846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6</cp:revision>
  <dcterms:created xsi:type="dcterms:W3CDTF">2014-09-12T06:00:00Z</dcterms:created>
  <dcterms:modified xsi:type="dcterms:W3CDTF">2014-09-18T19:12:00Z</dcterms:modified>
</cp:coreProperties>
</file>