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DD" w:rsidRPr="00EA0BDD" w:rsidRDefault="00EA0BDD" w:rsidP="00EA0BDD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EA0BDD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>ВОПРОСЫ ЛЕТА</w:t>
      </w:r>
    </w:p>
    <w:p w:rsidR="00EA0BDD" w:rsidRDefault="00EA0BDD" w:rsidP="00EA0BDD">
      <w:pPr>
        <w:pStyle w:val="aa"/>
      </w:pPr>
    </w:p>
    <w:p w:rsidR="00EA0BDD" w:rsidRDefault="00EA0BDD" w:rsidP="00EA0BDD">
      <w:pPr>
        <w:pStyle w:val="aa"/>
      </w:pPr>
      <w:r>
        <w:t>Лето выдалось жарким и урожайным на вопросы, которые попали в поле зрения Совета муниципальных образований Томской области. Не только семинары, круглые столы, совещания и рабочие поездки наполняли график летних месяцев, но и кропотливая аналитическая работа, активное участие в которой принимали главы муниципальных образований и специалисты органов местного самоуправления.</w:t>
      </w:r>
    </w:p>
    <w:p w:rsidR="00EA0BDD" w:rsidRPr="00EA0BDD" w:rsidRDefault="00EA0BDD" w:rsidP="00EA0BDD">
      <w:pPr>
        <w:pStyle w:val="af1"/>
        <w:rPr>
          <w:lang w:val="ru-RU"/>
        </w:rPr>
      </w:pPr>
    </w:p>
    <w:p w:rsidR="00EA0BDD" w:rsidRPr="00EA0BDD" w:rsidRDefault="00EA0BDD" w:rsidP="00EA0BDD">
      <w:pPr>
        <w:pStyle w:val="af1"/>
        <w:rPr>
          <w:lang w:val="ru-RU"/>
        </w:rPr>
      </w:pPr>
      <w:r w:rsidRPr="00EA0BDD">
        <w:rPr>
          <w:lang w:val="ru-RU"/>
        </w:rPr>
        <w:t>ЗЕМЛЯ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Изменение Земельного кодекса РФ потребовало изменения законодательства регионального. Нормативная правовая база Томской области по этому вопросу формируется при непосредственном участии Совета муниципальных образований Томской области.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– 25 июля вступил в силу Закон Томской области от 09.07.2015 №100-ОЗ «О земельных отношениях в Томской области». Этим законом определены полномочия органов государственной власти Томской области и органов местного самоуправления в области земельных отношений, а также установлен порядок предоставления и изъятия земельных участков.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– Проект закона Томской области о порядке предоставления земельных участков отдельным категориям граждан в собственность бесплатно разработан на основе предложений муниципальных образований Томской области. Базой для законопроекта послужили наработки администрации города Томска.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С принятием этого закона Томской области станет возможным «узаконить» ранее возведенные гаражи и погреба, а также получить бесплатно в упрощенном порядке земельный участок для эксплуатации объектов недвижимости, полученных в счет имущественных паев при выходе из производственных сельскохозяйственных кооперативов или иных сельскохозяйственных коммерческих организаций.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– Еще один блок предложений муниципалитетов области был направлен в департамент государственной собственности Томской области и касался порядка установления размера платы за увеличение площади земельных участков, находящихся в частной собственности, в результате их перераспределения с землями, государственная собственность на которые не разграничена. С данными предложениями можно ознакомиться на сайте Совета.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– Органы местного самоуправления приняли участие и в обсуждении проекта областного закона «О муниципальном земельном контроле», разработчиком которого выступила Прокуратура Томской области.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– Совместно с Департаментом государственной собственности Томской области был сформирован перечень проблемных вопросов, которые возникают при применении положений об изъятии земельных участков для государственных или муниципальных нужд.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В начале августа мы получили разъяснения Министерства экономического развития на вопросы муниципалитетов. Указанные разъяснения даны Минэкономразвития с учетом изменений в земельном законодательстве, внесенных Федеральным законом от 31 декабря 2014 г. №499-ФЗ «О внесении изменений в Земельный кодекс Российской Федерации и отдельные законодательные акты Российской Федерации». Разъяснения направлены во все местные администрации  региона и размещены на сайте Совета.</w:t>
      </w:r>
    </w:p>
    <w:p w:rsidR="00EA0BDD" w:rsidRPr="00EA0BDD" w:rsidRDefault="00EA0BDD" w:rsidP="00EA0BDD">
      <w:pPr>
        <w:pStyle w:val="af1"/>
        <w:rPr>
          <w:lang w:val="ru-RU"/>
        </w:rPr>
      </w:pPr>
    </w:p>
    <w:p w:rsidR="00EA0BDD" w:rsidRDefault="00EA0BDD" w:rsidP="00EA0BDD">
      <w:pPr>
        <w:pStyle w:val="af1"/>
        <w:rPr>
          <w:lang w:val="ru-RU"/>
        </w:rPr>
      </w:pPr>
    </w:p>
    <w:p w:rsidR="00EA0BDD" w:rsidRDefault="00EA0BDD" w:rsidP="00EA0BDD">
      <w:pPr>
        <w:pStyle w:val="af1"/>
        <w:rPr>
          <w:lang w:val="ru-RU"/>
        </w:rPr>
      </w:pPr>
    </w:p>
    <w:p w:rsidR="00EA0BDD" w:rsidRDefault="00EA0BDD" w:rsidP="00EA0BDD">
      <w:pPr>
        <w:pStyle w:val="af1"/>
        <w:rPr>
          <w:lang w:val="ru-RU"/>
        </w:rPr>
      </w:pPr>
    </w:p>
    <w:p w:rsidR="00EA0BDD" w:rsidRPr="00EA0BDD" w:rsidRDefault="00EA0BDD" w:rsidP="00EA0BDD">
      <w:pPr>
        <w:pStyle w:val="af1"/>
        <w:rPr>
          <w:lang w:val="ru-RU"/>
        </w:rPr>
      </w:pPr>
      <w:r w:rsidRPr="00EA0BDD">
        <w:rPr>
          <w:lang w:val="ru-RU"/>
        </w:rPr>
        <w:lastRenderedPageBreak/>
        <w:t>БЕЗНАДЗОРНЫЕ ЖИВОТНЫЕ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Проблема увеличения числа безнадзорных животных не один год остро стоит на территории каждого муниципального образования. Об этом неоднократно говорилось на совещаниях разного уровня, включая Съезд Совета.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Весной этого года вопросы регулирования численности безнадзорных животных обсуждались на заседании  комиссии по МСУ Законодательной Думы Томской области, а в августе – на заседании комитета по законодательству, государственному устройству и безопасности областного парламента.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Вновь говорили о недостаточности средств на реализацию соответствующих государственных полномочий, которыми наделены некоторые муниципалитеты области, об отсутствии пунктов передержки для собак, о необходимости корректировки нормативной базы, в том числе определяющей порядок и нормы содержания животных в жилых помещениях. Например, о том, что необходимо ограничивать количество животных, которые могут находиться в одной квартире.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Что же в итоге было предложено.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Администрации Томской области предложено совместно с органами местного самоуправления и УМВД РФ по Томской области разработать регламент взаимодействия Управления ветеринарии, органов местного самоуправления и подразделений полиции по привлечению к ответственности лиц, допустивших, в том числе, беспривязное содержание собак.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Органам местного самоуправления – принять меры по созданию площадок и определению мест для выгула и дрессировки собак.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Поддержаны предложения Управления ветеринарии Томской области о возможности использования средств субвенции, выделяемой из областного бюджета на приобретение оборудования и материалов для оснащения пунктов временного содержания безнадзорных животных. Сейчас этот вопрос прорабатывается на базе города Томска.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Кроме того, решено оценить  возможность изменения нормативов средней стоимости услуг по осуществлению государственных полномочий по регулированию численности безнадзорных животных. Такое предложение было направлено в адрес Администрации Томской области и Совета муниципальных образований. В Совете эта работа уже начата.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f1"/>
        <w:rPr>
          <w:lang w:val="ru-RU"/>
        </w:rPr>
      </w:pPr>
    </w:p>
    <w:p w:rsidR="00EA0BDD" w:rsidRPr="00EA0BDD" w:rsidRDefault="00EA0BDD" w:rsidP="00EA0BDD">
      <w:pPr>
        <w:pStyle w:val="af1"/>
        <w:rPr>
          <w:lang w:val="ru-RU"/>
        </w:rPr>
      </w:pPr>
      <w:r w:rsidRPr="00EA0BDD">
        <w:rPr>
          <w:lang w:val="ru-RU"/>
        </w:rPr>
        <w:t>СБОР И ВЫВОЗ ОТХОДОВ:</w:t>
      </w:r>
      <w:r>
        <w:rPr>
          <w:lang w:val="ru-RU"/>
        </w:rPr>
        <w:t xml:space="preserve"> </w:t>
      </w:r>
      <w:r w:rsidRPr="00EA0BDD">
        <w:rPr>
          <w:lang w:val="ru-RU"/>
        </w:rPr>
        <w:t xml:space="preserve">что нового?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Федеральными законами от 29.12.2014 № 458-ФЗ и № 203-ФЗ от 29.06.2015 внесены изменения более чем в 20 законов, регулирующих отдельные вопросы обращения с отходами производства и потребления, которые можно назвать судьбоносными.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Например, законодательно закреплено понятие утилизации отходов. Теперь под понятием утилизации отходов необходимо понимать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Термин «бытовые отходы» заменен понятием «твердые коммунальные отходы».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Перераспределены сферы ответственности между органами государственной власти субъектов РФ и органами местного самоуправления. </w:t>
      </w:r>
    </w:p>
    <w:p w:rsidR="00EA0BDD" w:rsidRDefault="00EA0BDD" w:rsidP="00EA0BDD">
      <w:pPr>
        <w:pStyle w:val="ab"/>
      </w:pPr>
      <w:r>
        <w:lastRenderedPageBreak/>
        <w:t xml:space="preserve"> </w:t>
      </w:r>
    </w:p>
    <w:p w:rsidR="00EA0BDD" w:rsidRDefault="00EA0BDD" w:rsidP="00EA0BDD">
      <w:pPr>
        <w:pStyle w:val="ab"/>
      </w:pPr>
      <w:r>
        <w:t xml:space="preserve">Так с 1 января следующего года к полномочиям субъекта Российской Федерации относятся вопросы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Об одном из направлений реализации данных полномочий на территории области читайте в материале на странице 30.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 xml:space="preserve">К вопросам местного значения поселений отнесено участие в организации деятельности по сбору (в том числе раздельному сбору) и транспортированию твердых коммунальных отходов. 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К вопросам местного значения муниципальных районов и городских округов отнесено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EA0BDD" w:rsidRDefault="00EA0BDD" w:rsidP="00EA0BDD">
      <w:pPr>
        <w:pStyle w:val="ab"/>
      </w:pPr>
    </w:p>
    <w:p w:rsidR="00EA0BDD" w:rsidRDefault="00EA0BDD" w:rsidP="00EA0BDD">
      <w:pPr>
        <w:pStyle w:val="ab"/>
      </w:pPr>
      <w:r>
        <w:t>Кроме того установлено, что деятельность в сфере обращения с отходами I-IV классов опасности на всех ее этапах подлежит лицензированию. С 1 января 2016 года сбор, транспортирование, обработка, утилизация отходов могут осуществляться предпринимателями и юридическими лицами только при наличии у них лицензии на данный вид деятельности.</w:t>
      </w:r>
    </w:p>
    <w:p w:rsidR="00EA0BDD" w:rsidRDefault="00EA0BDD" w:rsidP="00EA0BDD">
      <w:pPr>
        <w:pStyle w:val="ab"/>
      </w:pPr>
    </w:p>
    <w:p w:rsidR="007E7564" w:rsidRPr="00EA0BDD" w:rsidRDefault="00EA0BDD" w:rsidP="00EA0BDD">
      <w:r>
        <w:t xml:space="preserve">В связи с этим, по запросу Совета, Управление </w:t>
      </w:r>
      <w:proofErr w:type="spellStart"/>
      <w:r>
        <w:t>Росприроднадзора</w:t>
      </w:r>
      <w:proofErr w:type="spellEnd"/>
      <w:r>
        <w:t xml:space="preserve"> по Томской области разъяснило, что бытовые отходы и мусор классифицируются как отходы из жилищ несортированные и деятельность по их сбору и транспортированию подлежит лицензированию.</w:t>
      </w:r>
    </w:p>
    <w:sectPr w:rsidR="007E7564" w:rsidRPr="00EA0BDD" w:rsidSect="00255CB8">
      <w:headerReference w:type="default" r:id="rId6"/>
      <w:pgSz w:w="11907" w:h="16839" w:code="9"/>
      <w:pgMar w:top="1099" w:right="567" w:bottom="709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5E" w:rsidRDefault="00DE375E" w:rsidP="002868CF">
      <w:r>
        <w:separator/>
      </w:r>
    </w:p>
  </w:endnote>
  <w:endnote w:type="continuationSeparator" w:id="0">
    <w:p w:rsidR="00DE375E" w:rsidRDefault="00DE375E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5E" w:rsidRDefault="00DE375E" w:rsidP="002868CF">
      <w:r>
        <w:separator/>
      </w:r>
    </w:p>
  </w:footnote>
  <w:footnote w:type="continuationSeparator" w:id="0">
    <w:p w:rsidR="00DE375E" w:rsidRDefault="00DE375E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FF3348" w:rsidRDefault="002868CF" w:rsidP="00FF3348">
    <w:pPr>
      <w:pStyle w:val="a4"/>
      <w:tabs>
        <w:tab w:val="clear" w:pos="9355"/>
        <w:tab w:val="right" w:pos="10773"/>
      </w:tabs>
      <w:rPr>
        <w:rFonts w:ascii="Academia" w:hAnsi="Academia"/>
        <w:sz w:val="18"/>
        <w:szCs w:val="18"/>
      </w:rPr>
    </w:pPr>
    <w:r w:rsidRPr="00FF3348">
      <w:rPr>
        <w:sz w:val="18"/>
        <w:szCs w:val="18"/>
      </w:rPr>
      <w:t>ВЕСТНИК</w:t>
    </w:r>
    <w:r w:rsidRPr="00FF3348">
      <w:rPr>
        <w:rFonts w:ascii="Academia" w:hAnsi="Academia"/>
        <w:sz w:val="18"/>
        <w:szCs w:val="18"/>
      </w:rPr>
      <w:t xml:space="preserve">  </w:t>
    </w:r>
    <w:r w:rsidRPr="00FF3348">
      <w:rPr>
        <w:sz w:val="18"/>
        <w:szCs w:val="18"/>
      </w:rPr>
      <w:t>№</w:t>
    </w:r>
    <w:r w:rsidR="00FF3348" w:rsidRPr="00FF3348">
      <w:rPr>
        <w:sz w:val="18"/>
        <w:szCs w:val="18"/>
      </w:rPr>
      <w:t xml:space="preserve"> 3</w:t>
    </w:r>
    <w:r w:rsidRPr="00FF3348">
      <w:rPr>
        <w:rFonts w:ascii="Academia" w:hAnsi="Academia"/>
        <w:sz w:val="18"/>
        <w:szCs w:val="18"/>
      </w:rPr>
      <w:t xml:space="preserve"> 201</w:t>
    </w:r>
    <w:r w:rsidR="00974C9F" w:rsidRPr="00FF3348">
      <w:rPr>
        <w:rFonts w:ascii="Academia" w:hAnsi="Academia"/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         </w:t>
    </w:r>
    <w:r w:rsidR="00FF3348" w:rsidRPr="00FF3348">
      <w:rPr>
        <w:rFonts w:ascii="Academia" w:hAnsi="Academia"/>
        <w:sz w:val="18"/>
        <w:szCs w:val="18"/>
      </w:rPr>
      <w:t xml:space="preserve">                      </w:t>
    </w:r>
    <w:r w:rsidR="00200E3E"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ЖУРНАЛ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АССОЦИАЦИИ</w:t>
    </w:r>
    <w:r w:rsidRPr="00FF3348">
      <w:rPr>
        <w:rFonts w:ascii="Academia" w:hAnsi="Academia"/>
        <w:sz w:val="18"/>
        <w:szCs w:val="18"/>
      </w:rPr>
      <w:t xml:space="preserve"> «</w:t>
    </w:r>
    <w:r w:rsidRPr="00FF3348">
      <w:rPr>
        <w:sz w:val="18"/>
        <w:szCs w:val="18"/>
      </w:rPr>
      <w:t>СОВЕТ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МУНИЦИПАЛЬНЫХ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ОБРАЗОВАНИЙ</w:t>
    </w:r>
    <w:r w:rsidRPr="00FF3348">
      <w:rPr>
        <w:rFonts w:ascii="Academia" w:hAnsi="Academia"/>
        <w:sz w:val="18"/>
        <w:szCs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CF"/>
    <w:rsid w:val="000B3844"/>
    <w:rsid w:val="000B4F4B"/>
    <w:rsid w:val="000C19BE"/>
    <w:rsid w:val="000C3C42"/>
    <w:rsid w:val="00185AE8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469C"/>
    <w:rsid w:val="002F399B"/>
    <w:rsid w:val="00354B27"/>
    <w:rsid w:val="00387B45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507AE7"/>
    <w:rsid w:val="00511148"/>
    <w:rsid w:val="00524C31"/>
    <w:rsid w:val="0059058A"/>
    <w:rsid w:val="00590747"/>
    <w:rsid w:val="005948FE"/>
    <w:rsid w:val="005C1931"/>
    <w:rsid w:val="00600C16"/>
    <w:rsid w:val="00652A4E"/>
    <w:rsid w:val="00693619"/>
    <w:rsid w:val="00724244"/>
    <w:rsid w:val="00747464"/>
    <w:rsid w:val="00750963"/>
    <w:rsid w:val="00754555"/>
    <w:rsid w:val="00766C2B"/>
    <w:rsid w:val="00774A04"/>
    <w:rsid w:val="00790C27"/>
    <w:rsid w:val="007E7564"/>
    <w:rsid w:val="00802D21"/>
    <w:rsid w:val="00806ABB"/>
    <w:rsid w:val="00840129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B572A"/>
    <w:rsid w:val="00AD4541"/>
    <w:rsid w:val="00B76FF2"/>
    <w:rsid w:val="00BC4599"/>
    <w:rsid w:val="00BD5D4F"/>
    <w:rsid w:val="00BD6ABF"/>
    <w:rsid w:val="00C718E9"/>
    <w:rsid w:val="00C831F9"/>
    <w:rsid w:val="00CC2E39"/>
    <w:rsid w:val="00D068AD"/>
    <w:rsid w:val="00D13627"/>
    <w:rsid w:val="00D15695"/>
    <w:rsid w:val="00D214F0"/>
    <w:rsid w:val="00D2219A"/>
    <w:rsid w:val="00D42D48"/>
    <w:rsid w:val="00D51C82"/>
    <w:rsid w:val="00DB6630"/>
    <w:rsid w:val="00DE16F9"/>
    <w:rsid w:val="00DE375E"/>
    <w:rsid w:val="00DF005D"/>
    <w:rsid w:val="00DF600E"/>
    <w:rsid w:val="00E25297"/>
    <w:rsid w:val="00E43055"/>
    <w:rsid w:val="00EA0BDD"/>
    <w:rsid w:val="00EA7590"/>
    <w:rsid w:val="00EC0634"/>
    <w:rsid w:val="00EF66F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2015-09-11T04:27:00Z</dcterms:created>
  <dcterms:modified xsi:type="dcterms:W3CDTF">2015-09-11T04:28:00Z</dcterms:modified>
</cp:coreProperties>
</file>