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9" w:rsidRPr="008762E9" w:rsidRDefault="008762E9" w:rsidP="008762E9">
      <w:pPr>
        <w:autoSpaceDE w:val="0"/>
        <w:autoSpaceDN w:val="0"/>
        <w:adjustRightInd w:val="0"/>
        <w:spacing w:after="0" w:line="288" w:lineRule="auto"/>
        <w:ind w:left="283" w:firstLine="0"/>
        <w:jc w:val="left"/>
        <w:textAlignment w:val="center"/>
        <w:rPr>
          <w:rFonts w:ascii="Arial Black" w:eastAsiaTheme="minorHAnsi" w:hAnsi="Arial Black" w:cs="Arial Black"/>
          <w:caps/>
          <w:color w:val="003782"/>
          <w:sz w:val="48"/>
          <w:szCs w:val="48"/>
          <w:lang w:eastAsia="en-US"/>
        </w:rPr>
      </w:pPr>
      <w:r w:rsidRPr="008762E9">
        <w:rPr>
          <w:rFonts w:ascii="Arial Black" w:eastAsiaTheme="minorHAnsi" w:hAnsi="Arial Black" w:cs="Arial Black"/>
          <w:caps/>
          <w:color w:val="003782"/>
          <w:sz w:val="48"/>
          <w:szCs w:val="48"/>
          <w:lang w:eastAsia="en-US"/>
        </w:rPr>
        <w:t>дайджест</w:t>
      </w:r>
    </w:p>
    <w:p w:rsidR="008762E9" w:rsidRPr="008762E9" w:rsidRDefault="008762E9" w:rsidP="008762E9">
      <w:pPr>
        <w:pStyle w:val="af1"/>
        <w:rPr>
          <w:lang w:val="ru-RU"/>
        </w:rPr>
      </w:pPr>
      <w:r w:rsidRPr="008762E9">
        <w:rPr>
          <w:lang w:val="ru-RU"/>
        </w:rPr>
        <w:t>СДЕЛАЕМ КОАП ЭФФЕКТИВНЫМ</w:t>
      </w:r>
    </w:p>
    <w:p w:rsidR="008762E9" w:rsidRDefault="008762E9" w:rsidP="008762E9">
      <w:pPr>
        <w:pStyle w:val="ab"/>
      </w:pPr>
    </w:p>
    <w:p w:rsidR="008762E9" w:rsidRDefault="008762E9" w:rsidP="008762E9">
      <w:pPr>
        <w:pStyle w:val="aa"/>
      </w:pPr>
      <w:r>
        <w:t xml:space="preserve">Кто должен контролировать нарушение правил благоустройства? Как избежать противоречий между областным и местным правовыми актами? Об этом говорили на заседании рабочей группы по вопросам реализации законодательства об административных правонарушениях, состоявшемся 19 ноября в Совете муниципальных образований. </w:t>
      </w:r>
    </w:p>
    <w:p w:rsidR="008762E9" w:rsidRDefault="008762E9" w:rsidP="008762E9">
      <w:pPr>
        <w:pStyle w:val="aa"/>
      </w:pPr>
    </w:p>
    <w:p w:rsidR="008762E9" w:rsidRDefault="008762E9" w:rsidP="008762E9">
      <w:pPr>
        <w:pStyle w:val="ab"/>
      </w:pPr>
      <w:r>
        <w:t xml:space="preserve">В состав данной рабочей группы вошли представители областной законодательной и исполнительной власти, а также представители органов местного самоуправления Томска и </w:t>
      </w:r>
      <w:proofErr w:type="spellStart"/>
      <w:r>
        <w:t>Северска</w:t>
      </w:r>
      <w:proofErr w:type="spellEnd"/>
      <w:r>
        <w:t>.</w:t>
      </w:r>
    </w:p>
    <w:p w:rsidR="008762E9" w:rsidRDefault="008762E9" w:rsidP="008762E9">
      <w:pPr>
        <w:pStyle w:val="ab"/>
      </w:pPr>
    </w:p>
    <w:p w:rsidR="008762E9" w:rsidRDefault="008762E9" w:rsidP="008762E9">
      <w:pPr>
        <w:pStyle w:val="ab"/>
      </w:pPr>
      <w:r>
        <w:t xml:space="preserve">Поводом собраться послужила несогласованность Кодекса об административных правонарушениях Томской области и муниципальных нормативных правовых актов: отсутствие общего видения и расхождение в терминах не позволяет эффективно использовать областной </w:t>
      </w:r>
      <w:proofErr w:type="spellStart"/>
      <w:r>
        <w:t>КоАП</w:t>
      </w:r>
      <w:proofErr w:type="spellEnd"/>
      <w:r>
        <w:t xml:space="preserve"> и привлекать нарушителей к ответственности.</w:t>
      </w:r>
    </w:p>
    <w:p w:rsidR="008762E9" w:rsidRDefault="008762E9" w:rsidP="008762E9">
      <w:pPr>
        <w:pStyle w:val="ab"/>
      </w:pPr>
    </w:p>
    <w:p w:rsidR="008762E9" w:rsidRDefault="008762E9" w:rsidP="008762E9">
      <w:pPr>
        <w:pStyle w:val="ab"/>
      </w:pPr>
      <w:r>
        <w:t xml:space="preserve">Например, парковка на газонах и в прочих запрещенных местах. Несколько лет назад соблюдение правил парковки контролировали муниципальные органы власти, и тогда порядка на газонах было явно больше. </w:t>
      </w:r>
    </w:p>
    <w:p w:rsidR="008762E9" w:rsidRDefault="008762E9" w:rsidP="008762E9">
      <w:pPr>
        <w:pStyle w:val="ab"/>
      </w:pPr>
    </w:p>
    <w:p w:rsidR="008762E9" w:rsidRDefault="008762E9" w:rsidP="008762E9">
      <w:pPr>
        <w:pStyle w:val="ab"/>
      </w:pPr>
      <w:r>
        <w:t xml:space="preserve">Потом, в связи с приведением местного законодательства в соответствие с федеральным, этим стала заниматься исключительно ГИБДД. Но практика показала, что для борьбы с </w:t>
      </w:r>
      <w:proofErr w:type="gramStart"/>
      <w:r>
        <w:t>недобросовестными</w:t>
      </w:r>
      <w:proofErr w:type="gramEnd"/>
      <w:r>
        <w:t xml:space="preserve"> </w:t>
      </w:r>
      <w:proofErr w:type="spellStart"/>
      <w:r>
        <w:t>парковщиками</w:t>
      </w:r>
      <w:proofErr w:type="spellEnd"/>
      <w:r>
        <w:t xml:space="preserve"> сил одних сотрудников инспекции недостаточно. </w:t>
      </w:r>
    </w:p>
    <w:p w:rsidR="008762E9" w:rsidRDefault="008762E9" w:rsidP="008762E9">
      <w:pPr>
        <w:pStyle w:val="ab"/>
      </w:pPr>
    </w:p>
    <w:p w:rsidR="008762E9" w:rsidRDefault="008762E9" w:rsidP="008762E9">
      <w:pPr>
        <w:pStyle w:val="ab"/>
      </w:pPr>
      <w:r>
        <w:t>Возможно, дела пошли бы гораздо лучше, если бы за муниципалитетами все же остались эти функции, но с другой формулировкой: вместо «нарушений правил парковки» контролировать «порчу газонов».</w:t>
      </w:r>
    </w:p>
    <w:p w:rsidR="008762E9" w:rsidRDefault="008762E9" w:rsidP="008762E9">
      <w:pPr>
        <w:pStyle w:val="ab"/>
      </w:pPr>
    </w:p>
    <w:p w:rsidR="008762E9" w:rsidRDefault="008762E9" w:rsidP="008762E9">
      <w:pPr>
        <w:pStyle w:val="ab"/>
      </w:pPr>
      <w:r>
        <w:t>Члены рабочей группы подробно обсудили еще ряд актуальных для нашего региона проблем: сосульки на крышах, сугробы на дорогах, которые портят внешний вид улиц и угрожают безопасности людей. По этим вопросам также необходимо выработать более четкую и согласованную позицию.</w:t>
      </w:r>
    </w:p>
    <w:p w:rsidR="008762E9" w:rsidRDefault="008762E9" w:rsidP="008762E9">
      <w:pPr>
        <w:pStyle w:val="ab"/>
      </w:pPr>
    </w:p>
    <w:p w:rsidR="008762E9" w:rsidRDefault="008762E9" w:rsidP="008762E9">
      <w:pPr>
        <w:pStyle w:val="ab"/>
      </w:pPr>
      <w:r>
        <w:t xml:space="preserve">По итогам заседания принято решение всем членам рабочей группы проанализировать областной </w:t>
      </w:r>
      <w:proofErr w:type="spellStart"/>
      <w:r>
        <w:t>КоАП</w:t>
      </w:r>
      <w:proofErr w:type="spellEnd"/>
      <w:r>
        <w:t xml:space="preserve">  и муниципальные акты, предложить формулировки принимаемых на местном уровне правовых норм в сфере благоустройства с целью их согласования с действующими положениями Кодекса.</w:t>
      </w:r>
    </w:p>
    <w:p w:rsidR="008762E9" w:rsidRDefault="008762E9" w:rsidP="008762E9">
      <w:pPr>
        <w:pStyle w:val="ab"/>
      </w:pPr>
    </w:p>
    <w:p w:rsidR="008762E9" w:rsidRDefault="008762E9" w:rsidP="008762E9">
      <w:pPr>
        <w:pStyle w:val="ab"/>
      </w:pPr>
      <w:r>
        <w:t xml:space="preserve">Результатом общей работы должны стать предложения Совета в Законодательную Думу Томской области – для приведения норм </w:t>
      </w:r>
      <w:proofErr w:type="spellStart"/>
      <w:r>
        <w:t>КоАП</w:t>
      </w:r>
      <w:proofErr w:type="spellEnd"/>
      <w:r>
        <w:t xml:space="preserve"> Томской области в соответствие с реальностью, а также рекомендации для муниципалитетов по согласованию муниципальных актов с областным Кодексом.</w:t>
      </w:r>
    </w:p>
    <w:p w:rsidR="008762E9" w:rsidRDefault="008762E9" w:rsidP="008762E9">
      <w:pPr>
        <w:pStyle w:val="ab"/>
      </w:pPr>
    </w:p>
    <w:p w:rsidR="008762E9" w:rsidRPr="008762E9" w:rsidRDefault="008762E9" w:rsidP="008762E9">
      <w:pPr>
        <w:pStyle w:val="af1"/>
        <w:rPr>
          <w:lang w:val="ru-RU"/>
        </w:rPr>
      </w:pPr>
      <w:r w:rsidRPr="008762E9">
        <w:rPr>
          <w:lang w:val="ru-RU"/>
        </w:rPr>
        <w:t>пассажирские перевозки по-новому</w:t>
      </w:r>
    </w:p>
    <w:p w:rsidR="008762E9" w:rsidRDefault="008762E9" w:rsidP="008762E9">
      <w:pPr>
        <w:pStyle w:val="ab"/>
      </w:pPr>
    </w:p>
    <w:p w:rsidR="008762E9" w:rsidRDefault="008762E9" w:rsidP="008762E9">
      <w:pPr>
        <w:pStyle w:val="aa"/>
      </w:pPr>
      <w:r>
        <w:t xml:space="preserve">В 2015 году изменился порядок организации пассажирских перевозок по муниципальным маршрутам. </w:t>
      </w:r>
    </w:p>
    <w:p w:rsidR="008762E9" w:rsidRDefault="008762E9" w:rsidP="008762E9">
      <w:pPr>
        <w:pStyle w:val="aa"/>
      </w:pPr>
    </w:p>
    <w:p w:rsidR="008762E9" w:rsidRDefault="008762E9" w:rsidP="008762E9">
      <w:pPr>
        <w:pStyle w:val="ab"/>
      </w:pPr>
      <w:r>
        <w:t>В частности, с 11 января 2016 года тарифы на перевозку пассажиров по общественно важным маршрутам будут регулируемыми, а затраты перевозчика компенсирует бюджет. В остальных случаях перевозчик имеет право устанавливать собственные тарифы на перевозку.</w:t>
      </w:r>
    </w:p>
    <w:p w:rsidR="008762E9" w:rsidRDefault="008762E9" w:rsidP="008762E9">
      <w:pPr>
        <w:pStyle w:val="ab"/>
      </w:pPr>
    </w:p>
    <w:p w:rsidR="008762E9" w:rsidRDefault="008762E9" w:rsidP="008762E9">
      <w:pPr>
        <w:pStyle w:val="ab"/>
      </w:pPr>
      <w:r>
        <w:t>Какова роль муниципалитетов в реализации закона? Что нужно успеть сделать и к какому сроку?</w:t>
      </w:r>
    </w:p>
    <w:p w:rsidR="008762E9" w:rsidRDefault="008762E9" w:rsidP="008762E9">
      <w:pPr>
        <w:pStyle w:val="ab"/>
      </w:pPr>
    </w:p>
    <w:p w:rsidR="008762E9" w:rsidRDefault="008762E9" w:rsidP="008762E9">
      <w:pPr>
        <w:pStyle w:val="ab"/>
      </w:pPr>
      <w:r>
        <w:t xml:space="preserve">Чтобы помочь разобраться в новых правилах, 8 декабря в Совете муниципальных образований прошел семинар по вопросам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8762E9" w:rsidRDefault="008762E9" w:rsidP="008762E9">
      <w:pPr>
        <w:pStyle w:val="ab"/>
      </w:pPr>
    </w:p>
    <w:p w:rsidR="008762E9" w:rsidRDefault="008762E9" w:rsidP="008762E9">
      <w:pPr>
        <w:pStyle w:val="ab"/>
      </w:pPr>
      <w:r>
        <w:t xml:space="preserve">В мероприятии приняли участие представители муниципальных образований – от </w:t>
      </w:r>
      <w:proofErr w:type="spellStart"/>
      <w:r>
        <w:t>Северска</w:t>
      </w:r>
      <w:proofErr w:type="spellEnd"/>
      <w:r>
        <w:t xml:space="preserve"> до Кедрового – а также представители администраций Томской области и города Томска. </w:t>
      </w:r>
    </w:p>
    <w:p w:rsidR="008762E9" w:rsidRDefault="008762E9" w:rsidP="008762E9">
      <w:pPr>
        <w:pStyle w:val="ab"/>
      </w:pPr>
    </w:p>
    <w:p w:rsidR="008762E9" w:rsidRDefault="008762E9" w:rsidP="008762E9">
      <w:pPr>
        <w:pStyle w:val="ab"/>
      </w:pPr>
      <w:r>
        <w:t xml:space="preserve">Председатель комитета по организации пассажирских перевозок Департамента транспорта, дорожной деятельности и связи Томской области Игорь Николаевич Ковалев и председатель комитета по транспорту и организации дорожного движения администрации Томска Ольга Анатольевна </w:t>
      </w:r>
      <w:proofErr w:type="spellStart"/>
      <w:r>
        <w:t>Свахина</w:t>
      </w:r>
      <w:proofErr w:type="spellEnd"/>
      <w:r>
        <w:t xml:space="preserve"> подробно рассказали о тонкостях реализации нового закона и ответили на вопросы присутствующих. </w:t>
      </w:r>
    </w:p>
    <w:p w:rsidR="008762E9" w:rsidRDefault="008762E9" w:rsidP="008762E9">
      <w:pPr>
        <w:pStyle w:val="ab"/>
      </w:pPr>
    </w:p>
    <w:p w:rsidR="008762E9" w:rsidRDefault="008762E9" w:rsidP="008762E9">
      <w:pPr>
        <w:pStyle w:val="af1"/>
        <w:rPr>
          <w:rFonts w:ascii="Arial" w:hAnsi="Arial" w:cs="Arial"/>
          <w:caps w:val="0"/>
          <w:color w:val="000000"/>
          <w:sz w:val="20"/>
          <w:szCs w:val="20"/>
          <w:lang w:val="ru-RU"/>
        </w:rPr>
      </w:pPr>
      <w:r>
        <w:rPr>
          <w:rFonts w:ascii="Arial" w:hAnsi="Arial" w:cs="Arial"/>
          <w:caps w:val="0"/>
          <w:color w:val="000000"/>
          <w:sz w:val="20"/>
          <w:szCs w:val="20"/>
          <w:lang w:val="ru-RU"/>
        </w:rPr>
        <w:t>Подробнее об этом читайте на странице</w:t>
      </w:r>
      <w:r>
        <w:rPr>
          <w:rFonts w:ascii="Arial" w:hAnsi="Arial" w:cs="Arial"/>
          <w:caps w:val="0"/>
          <w:color w:val="009DE0"/>
          <w:sz w:val="20"/>
          <w:szCs w:val="20"/>
          <w:lang w:val="ru-RU"/>
        </w:rPr>
        <w:t xml:space="preserve"> </w:t>
      </w:r>
      <w:r>
        <w:rPr>
          <w:rFonts w:ascii="Arial" w:hAnsi="Arial" w:cs="Arial"/>
          <w:caps w:val="0"/>
          <w:color w:val="000000"/>
          <w:sz w:val="20"/>
          <w:szCs w:val="20"/>
          <w:lang w:val="ru-RU"/>
        </w:rPr>
        <w:t xml:space="preserve">15. </w:t>
      </w:r>
    </w:p>
    <w:p w:rsidR="008762E9" w:rsidRPr="008762E9" w:rsidRDefault="008762E9" w:rsidP="008762E9">
      <w:pPr>
        <w:pStyle w:val="af1"/>
        <w:rPr>
          <w:lang w:val="ru-RU"/>
        </w:rPr>
      </w:pPr>
    </w:p>
    <w:p w:rsidR="008762E9" w:rsidRPr="008762E9" w:rsidRDefault="008762E9" w:rsidP="008762E9">
      <w:pPr>
        <w:pStyle w:val="af1"/>
        <w:rPr>
          <w:lang w:val="ru-RU"/>
        </w:rPr>
      </w:pPr>
      <w:r w:rsidRPr="008762E9">
        <w:rPr>
          <w:lang w:val="ru-RU"/>
        </w:rPr>
        <w:t>ЗАКОН ОБ ОБРАЩЕНИИ С ОТХОДАМИ: ЯСНОСТИ пока нет</w:t>
      </w:r>
    </w:p>
    <w:p w:rsidR="008762E9" w:rsidRDefault="008762E9" w:rsidP="008762E9">
      <w:pPr>
        <w:pStyle w:val="ab"/>
      </w:pPr>
    </w:p>
    <w:p w:rsidR="008762E9" w:rsidRDefault="008762E9" w:rsidP="008762E9">
      <w:pPr>
        <w:pStyle w:val="aa"/>
      </w:pPr>
      <w:r>
        <w:t>24 ноября в Совете состоялся семинар по вопросам обращения с отходами. Представители муниципалитетов собрались, чтобы услышать рекомендации Департамента охраны окружающей среды Томской области о том, какие действия в этой сфере должны предприниматься с 1 января 2016 года.</w:t>
      </w:r>
    </w:p>
    <w:p w:rsidR="008762E9" w:rsidRDefault="008762E9" w:rsidP="008762E9">
      <w:pPr>
        <w:pStyle w:val="ab"/>
      </w:pPr>
    </w:p>
    <w:p w:rsidR="008762E9" w:rsidRDefault="008762E9" w:rsidP="008762E9">
      <w:pPr>
        <w:pStyle w:val="ab"/>
      </w:pPr>
      <w:r>
        <w:t xml:space="preserve">Напомним, что с начала следующего года должен вступить в силу Федеральный закон от 29.12.2014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8762E9" w:rsidRDefault="008762E9" w:rsidP="008762E9">
      <w:pPr>
        <w:pStyle w:val="ab"/>
      </w:pPr>
    </w:p>
    <w:p w:rsidR="008762E9" w:rsidRDefault="008762E9" w:rsidP="008762E9">
      <w:pPr>
        <w:pStyle w:val="ab"/>
      </w:pPr>
      <w:r>
        <w:t xml:space="preserve">Согласно положениям этого закона, с 1 января 2016 года обязанности по сбору, вывозу, утилизации отходов будут возложены на субъект федерации. При этом полномочия органов местного самоуправления обозначаются в законе как «участие» в этой деятельности. Но в чем именно должно состоять это участие, никак не обозначено. </w:t>
      </w:r>
    </w:p>
    <w:p w:rsidR="008762E9" w:rsidRDefault="008762E9" w:rsidP="008762E9">
      <w:pPr>
        <w:pStyle w:val="ab"/>
      </w:pPr>
    </w:p>
    <w:p w:rsidR="008762E9" w:rsidRDefault="008762E9" w:rsidP="008762E9">
      <w:pPr>
        <w:pStyle w:val="ab"/>
      </w:pPr>
      <w:r>
        <w:t xml:space="preserve">Кроме того, сегодня вне закона остаются свалки, которые еще недавно </w:t>
      </w:r>
      <w:proofErr w:type="gramStart"/>
      <w:r>
        <w:t>совершенно легально</w:t>
      </w:r>
      <w:proofErr w:type="gramEnd"/>
      <w:r>
        <w:t xml:space="preserve"> функционировали возле каждого населенного пункта. Теперь они должны быть не только приведены в соответствие с санитарными нормами, но и внесены в государственный реестр – ГРОРО. </w:t>
      </w:r>
    </w:p>
    <w:p w:rsidR="008762E9" w:rsidRDefault="008762E9" w:rsidP="008762E9">
      <w:pPr>
        <w:pStyle w:val="ab"/>
      </w:pPr>
    </w:p>
    <w:p w:rsidR="008762E9" w:rsidRDefault="008762E9" w:rsidP="008762E9">
      <w:pPr>
        <w:pStyle w:val="ab"/>
      </w:pPr>
      <w:r>
        <w:t>Но понятного алгоритма того, как это должно происходить, и откуда изыскивать средства на реконструкцию свалки в официальный объект размещения отходов, опять же, не разработано.</w:t>
      </w:r>
    </w:p>
    <w:p w:rsidR="008762E9" w:rsidRDefault="008762E9" w:rsidP="008762E9">
      <w:pPr>
        <w:pStyle w:val="ab"/>
      </w:pPr>
    </w:p>
    <w:p w:rsidR="008762E9" w:rsidRDefault="008762E9" w:rsidP="008762E9">
      <w:pPr>
        <w:pStyle w:val="ab"/>
      </w:pPr>
      <w:r>
        <w:t xml:space="preserve">К сожалению, начальник природоохранного департамента Сергей Янович Трапезников также не смог ответить на эти вопросы, сославшись на несовершенство федерального законодательства. По его словам, чтобы закон начал нормально работать, должно быть принято около 30 подзаконных актов на уровне федерации, а принято на настоящий момент всего два. </w:t>
      </w:r>
    </w:p>
    <w:p w:rsidR="008762E9" w:rsidRDefault="008762E9" w:rsidP="008762E9">
      <w:pPr>
        <w:pStyle w:val="ab"/>
      </w:pPr>
    </w:p>
    <w:p w:rsidR="008762E9" w:rsidRDefault="008762E9" w:rsidP="008762E9">
      <w:pPr>
        <w:pStyle w:val="ab"/>
      </w:pPr>
      <w:r>
        <w:t>Остается надеяться, что к началу следующего года на государственном уровне появится определенная ясность в данной сфере.</w:t>
      </w:r>
    </w:p>
    <w:p w:rsidR="008762E9" w:rsidRDefault="008762E9" w:rsidP="008762E9">
      <w:pPr>
        <w:pStyle w:val="ab"/>
      </w:pPr>
    </w:p>
    <w:p w:rsidR="008762E9" w:rsidRDefault="008762E9" w:rsidP="008762E9">
      <w:pPr>
        <w:pStyle w:val="ab"/>
      </w:pPr>
      <w:r>
        <w:t>А Совет муниципальных образований будет, как и прежде, следить за этой темой и стараться оперативно информировать муниципалитеты.</w:t>
      </w:r>
    </w:p>
    <w:p w:rsidR="008762E9" w:rsidRDefault="008762E9" w:rsidP="008762E9">
      <w:pPr>
        <w:pStyle w:val="ab"/>
      </w:pPr>
    </w:p>
    <w:p w:rsidR="008762E9" w:rsidRPr="008762E9" w:rsidRDefault="008762E9" w:rsidP="008762E9">
      <w:pPr>
        <w:pStyle w:val="af1"/>
        <w:rPr>
          <w:lang w:val="ru-RU"/>
        </w:rPr>
      </w:pPr>
      <w:r w:rsidRPr="008762E9">
        <w:rPr>
          <w:lang w:val="ru-RU"/>
        </w:rPr>
        <w:t>ПРОБЛЕМА БЫВАЕТ СОБАЧЬЕЙ…</w:t>
      </w:r>
    </w:p>
    <w:p w:rsidR="008762E9" w:rsidRDefault="008762E9" w:rsidP="008762E9">
      <w:pPr>
        <w:pStyle w:val="ab"/>
      </w:pPr>
    </w:p>
    <w:p w:rsidR="008762E9" w:rsidRDefault="008762E9" w:rsidP="008762E9">
      <w:pPr>
        <w:pStyle w:val="aa"/>
      </w:pPr>
      <w:r>
        <w:t xml:space="preserve">Проблема бродячих собак знакома всем городам и сельским поселениям: от жителей регулярно поступают жалобы на агрессивные собачьи стаи. Чтобы обсудить сложившуюся ситуацию, 25 ноября в администрации города Томска состоялся круглый стол по вопросам регулирования численности безнадзорных животных. </w:t>
      </w:r>
    </w:p>
    <w:p w:rsidR="008762E9" w:rsidRDefault="008762E9" w:rsidP="008762E9">
      <w:pPr>
        <w:pStyle w:val="ab"/>
      </w:pPr>
    </w:p>
    <w:p w:rsidR="008762E9" w:rsidRDefault="008762E9" w:rsidP="008762E9">
      <w:pPr>
        <w:pStyle w:val="ab"/>
      </w:pPr>
      <w:r>
        <w:lastRenderedPageBreak/>
        <w:t xml:space="preserve">В нем приняли участие представители администраций районов и поселений, областного управления ветеринарии, а также </w:t>
      </w:r>
      <w:proofErr w:type="spellStart"/>
      <w:r>
        <w:t>зоозащитных</w:t>
      </w:r>
      <w:proofErr w:type="spellEnd"/>
      <w:r>
        <w:t xml:space="preserve"> организаций и коммерческих предприятий, которые сегодня осуществляют отлов и содержание собак. Модератором состоявшейся дискуссии стал мэр Томска Иван Григорьевич Кляйн.</w:t>
      </w:r>
    </w:p>
    <w:p w:rsidR="008762E9" w:rsidRDefault="008762E9" w:rsidP="008762E9">
      <w:pPr>
        <w:pStyle w:val="ab"/>
      </w:pPr>
    </w:p>
    <w:p w:rsidR="008762E9" w:rsidRDefault="008762E9" w:rsidP="008762E9">
      <w:pPr>
        <w:pStyle w:val="ab"/>
      </w:pPr>
      <w:r>
        <w:t>С инициативой проведения круглого стола выступили мэрия Томска и Совет муниципальных образований Томской области, который на протяжении всего года проводил мониторинг ситуации и выявлял проблемные вопросы в этой сфере. Например, в большинстве районов нет специализированной организации, занимающейся отловом и содержанием безнадзорных животных, а там, где есть – средств на ее работу выделяется недостаточно.</w:t>
      </w:r>
    </w:p>
    <w:p w:rsidR="008762E9" w:rsidRDefault="008762E9" w:rsidP="008762E9">
      <w:pPr>
        <w:pStyle w:val="ab"/>
      </w:pPr>
    </w:p>
    <w:p w:rsidR="008762E9" w:rsidRDefault="008762E9" w:rsidP="008762E9">
      <w:pPr>
        <w:pStyle w:val="ab"/>
      </w:pPr>
      <w:r>
        <w:t xml:space="preserve">В 2013 году законом Томской области № 51-ОЗ шести муниципалитетам переданы полномочия по регулированию численности безнадзорных животных. Это города Томск, Северск, Стрежевой;  районы – </w:t>
      </w:r>
      <w:proofErr w:type="spellStart"/>
      <w:r>
        <w:t>Асиновский</w:t>
      </w:r>
      <w:proofErr w:type="spellEnd"/>
      <w:r>
        <w:t xml:space="preserve">, </w:t>
      </w:r>
      <w:proofErr w:type="spellStart"/>
      <w:r>
        <w:t>Колпашевский</w:t>
      </w:r>
      <w:proofErr w:type="spellEnd"/>
      <w:r>
        <w:t xml:space="preserve"> и Томский. Они получают субвенцию из областного бюджета, которая в 2016 году составит 18 миллионов рублей. Остальные муниципалитеты никаких целевых средств не получают, но это не означает, что проблемы бродячих собак у них нет. И об этом много говорилось на минувшем круглом столе.</w:t>
      </w:r>
    </w:p>
    <w:p w:rsidR="008762E9" w:rsidRDefault="008762E9" w:rsidP="008762E9">
      <w:pPr>
        <w:pStyle w:val="ab"/>
      </w:pPr>
    </w:p>
    <w:p w:rsidR="008762E9" w:rsidRDefault="008762E9" w:rsidP="008762E9">
      <w:pPr>
        <w:pStyle w:val="ab"/>
      </w:pPr>
      <w:r>
        <w:t>Но даже у тех муниципалитетов, которые имеют полномочия на ведение этой деятельности, не все идет гладко. Установленные тарифы на выполнение работ по отлову, временному содержанию, стерилизации, утилизации безнадзорных животных не соответствуют рыночным. Частный бизнес в эту сферу не идет, редкие энтузиасты едва сводят концы с концами, а в отсутствие материальной базы муниципалитеты просто не могут реализовывать свои полномочия в полном объеме.</w:t>
      </w:r>
    </w:p>
    <w:p w:rsidR="008762E9" w:rsidRDefault="008762E9" w:rsidP="008762E9">
      <w:pPr>
        <w:pStyle w:val="ab"/>
      </w:pPr>
    </w:p>
    <w:p w:rsidR="00716ABB" w:rsidRPr="008762E9" w:rsidRDefault="008762E9" w:rsidP="008762E9">
      <w:r>
        <w:t>В процессе обсуждения большинство экспертов сошлись в том, что для решения «собачьей» проблемы муниципалитетам нужно объединяться. То есть, создавать организацию, которая обслуживала бы несколько соседних районов. Возможно – выделять дополнительные средства на строительство питомников. Теперь осталось претворить эту идею в жизнь.</w:t>
      </w:r>
    </w:p>
    <w:sectPr w:rsidR="00716ABB" w:rsidRPr="008762E9" w:rsidSect="00255CB8">
      <w:headerReference w:type="default" r:id="rId6"/>
      <w:pgSz w:w="11907" w:h="16839" w:code="9"/>
      <w:pgMar w:top="1099" w:right="567" w:bottom="709" w:left="567"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5A" w:rsidRDefault="00FA185A" w:rsidP="002868CF">
      <w:r>
        <w:separator/>
      </w:r>
    </w:p>
  </w:endnote>
  <w:endnote w:type="continuationSeparator" w:id="0">
    <w:p w:rsidR="00FA185A" w:rsidRDefault="00FA185A"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cademi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5A" w:rsidRDefault="00FA185A" w:rsidP="002868CF">
      <w:r>
        <w:separator/>
      </w:r>
    </w:p>
  </w:footnote>
  <w:footnote w:type="continuationSeparator" w:id="0">
    <w:p w:rsidR="00FA185A" w:rsidRDefault="00FA185A"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FF3348" w:rsidRDefault="002868CF" w:rsidP="00FF3348">
    <w:pPr>
      <w:pStyle w:val="a4"/>
      <w:tabs>
        <w:tab w:val="clear" w:pos="9355"/>
        <w:tab w:val="right" w:pos="10773"/>
      </w:tabs>
      <w:rPr>
        <w:rFonts w:ascii="Academia" w:hAnsi="Academia"/>
        <w:sz w:val="18"/>
        <w:szCs w:val="18"/>
      </w:rPr>
    </w:pPr>
    <w:r w:rsidRPr="00FF3348">
      <w:rPr>
        <w:sz w:val="18"/>
        <w:szCs w:val="18"/>
      </w:rPr>
      <w:t>ВЕСТНИК</w:t>
    </w:r>
    <w:r w:rsidRPr="00FF3348">
      <w:rPr>
        <w:rFonts w:ascii="Academia" w:hAnsi="Academia"/>
        <w:sz w:val="18"/>
        <w:szCs w:val="18"/>
      </w:rPr>
      <w:t xml:space="preserve">  </w:t>
    </w:r>
    <w:r w:rsidRPr="00FF3348">
      <w:rPr>
        <w:sz w:val="18"/>
        <w:szCs w:val="18"/>
      </w:rPr>
      <w:t>№</w:t>
    </w:r>
    <w:r w:rsidR="00FF3348" w:rsidRPr="00FF3348">
      <w:rPr>
        <w:sz w:val="18"/>
        <w:szCs w:val="18"/>
      </w:rPr>
      <w:t xml:space="preserve"> </w:t>
    </w:r>
    <w:r w:rsidR="00552BEB">
      <w:rPr>
        <w:sz w:val="18"/>
        <w:szCs w:val="18"/>
      </w:rPr>
      <w:t>5</w:t>
    </w:r>
    <w:r w:rsidRPr="00FF3348">
      <w:rPr>
        <w:rFonts w:ascii="Academia" w:hAnsi="Academia"/>
        <w:sz w:val="18"/>
        <w:szCs w:val="18"/>
      </w:rPr>
      <w:t xml:space="preserve"> </w:t>
    </w:r>
    <w:r w:rsidR="00716ABB">
      <w:rPr>
        <w:rFonts w:asciiTheme="minorHAnsi" w:hAnsiTheme="minorHAnsi"/>
        <w:sz w:val="18"/>
        <w:szCs w:val="18"/>
      </w:rPr>
      <w:t xml:space="preserve"> </w:t>
    </w:r>
    <w:r w:rsidRPr="00FF3348">
      <w:rPr>
        <w:rFonts w:ascii="Academia" w:hAnsi="Academia"/>
        <w:sz w:val="18"/>
        <w:szCs w:val="18"/>
      </w:rPr>
      <w:t>201</w:t>
    </w:r>
    <w:r w:rsidR="00974C9F" w:rsidRPr="00FF3348">
      <w:rPr>
        <w:rFonts w:ascii="Academia" w:hAnsi="Academia"/>
        <w:sz w:val="18"/>
        <w:szCs w:val="18"/>
      </w:rPr>
      <w:t>5</w:t>
    </w:r>
    <w:r w:rsidRPr="00FF3348">
      <w:rPr>
        <w:rFonts w:ascii="Academia" w:hAnsi="Academia"/>
        <w:sz w:val="18"/>
        <w:szCs w:val="18"/>
      </w:rPr>
      <w:t xml:space="preserve">          </w:t>
    </w:r>
    <w:r w:rsidR="00FF3348" w:rsidRPr="00FF3348">
      <w:rPr>
        <w:rFonts w:ascii="Academia" w:hAnsi="Academia"/>
        <w:sz w:val="18"/>
        <w:szCs w:val="18"/>
      </w:rPr>
      <w:t xml:space="preserve">                      </w:t>
    </w:r>
    <w:r w:rsidR="00716ABB">
      <w:rPr>
        <w:rFonts w:asciiTheme="minorHAnsi" w:hAnsiTheme="minorHAnsi"/>
        <w:sz w:val="18"/>
        <w:szCs w:val="18"/>
      </w:rPr>
      <w:t xml:space="preserve">                      </w:t>
    </w:r>
    <w:r w:rsidR="00200E3E" w:rsidRPr="00FF3348">
      <w:rPr>
        <w:rFonts w:ascii="Academia" w:hAnsi="Academia"/>
        <w:sz w:val="18"/>
        <w:szCs w:val="18"/>
      </w:rPr>
      <w:t xml:space="preserve"> </w:t>
    </w:r>
    <w:r w:rsidRPr="00FF3348">
      <w:rPr>
        <w:sz w:val="18"/>
        <w:szCs w:val="18"/>
      </w:rPr>
      <w:t>ЖУРНАЛ</w:t>
    </w:r>
    <w:r w:rsidRPr="00FF3348">
      <w:rPr>
        <w:rFonts w:ascii="Academia" w:hAnsi="Academia"/>
        <w:sz w:val="18"/>
        <w:szCs w:val="18"/>
      </w:rPr>
      <w:t xml:space="preserve"> </w:t>
    </w:r>
    <w:r w:rsidRPr="00FF3348">
      <w:rPr>
        <w:sz w:val="18"/>
        <w:szCs w:val="18"/>
      </w:rPr>
      <w:t>АССОЦИАЦИИ</w:t>
    </w:r>
    <w:r w:rsidRPr="00FF3348">
      <w:rPr>
        <w:rFonts w:ascii="Academia" w:hAnsi="Academia"/>
        <w:sz w:val="18"/>
        <w:szCs w:val="18"/>
      </w:rPr>
      <w:t xml:space="preserve"> «</w:t>
    </w:r>
    <w:r w:rsidRPr="00FF3348">
      <w:rPr>
        <w:sz w:val="18"/>
        <w:szCs w:val="18"/>
      </w:rPr>
      <w:t>СОВЕТ</w:t>
    </w:r>
    <w:r w:rsidRPr="00FF3348">
      <w:rPr>
        <w:rFonts w:ascii="Academia" w:hAnsi="Academia"/>
        <w:sz w:val="18"/>
        <w:szCs w:val="18"/>
      </w:rPr>
      <w:t xml:space="preserve"> </w:t>
    </w:r>
    <w:r w:rsidRPr="00FF3348">
      <w:rPr>
        <w:sz w:val="18"/>
        <w:szCs w:val="18"/>
      </w:rPr>
      <w:t>МУНИЦИПАЛЬНЫХ</w:t>
    </w:r>
    <w:r w:rsidRPr="00FF3348">
      <w:rPr>
        <w:rFonts w:ascii="Academia" w:hAnsi="Academia"/>
        <w:sz w:val="18"/>
        <w:szCs w:val="18"/>
      </w:rPr>
      <w:t xml:space="preserve"> </w:t>
    </w:r>
    <w:r w:rsidRPr="00FF3348">
      <w:rPr>
        <w:sz w:val="18"/>
        <w:szCs w:val="18"/>
      </w:rPr>
      <w:t>ОБРАЗОВАНИЙ</w:t>
    </w:r>
    <w:r w:rsidRPr="00FF3348">
      <w:rPr>
        <w:rFonts w:ascii="Academia" w:hAnsi="Academia"/>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68CF"/>
    <w:rsid w:val="0009463E"/>
    <w:rsid w:val="000B3844"/>
    <w:rsid w:val="000B4F4B"/>
    <w:rsid w:val="000C19BE"/>
    <w:rsid w:val="000C3C42"/>
    <w:rsid w:val="000D1802"/>
    <w:rsid w:val="00174C70"/>
    <w:rsid w:val="00185AE8"/>
    <w:rsid w:val="001C3294"/>
    <w:rsid w:val="001C5B12"/>
    <w:rsid w:val="001D3A4E"/>
    <w:rsid w:val="001E46CF"/>
    <w:rsid w:val="00200E3E"/>
    <w:rsid w:val="00202070"/>
    <w:rsid w:val="00207518"/>
    <w:rsid w:val="00242C23"/>
    <w:rsid w:val="002546AA"/>
    <w:rsid w:val="00255CB8"/>
    <w:rsid w:val="00270ADC"/>
    <w:rsid w:val="00283AA4"/>
    <w:rsid w:val="002868CF"/>
    <w:rsid w:val="002900D3"/>
    <w:rsid w:val="0029469C"/>
    <w:rsid w:val="002F399B"/>
    <w:rsid w:val="00354B27"/>
    <w:rsid w:val="00383DD9"/>
    <w:rsid w:val="00387B45"/>
    <w:rsid w:val="003C60BA"/>
    <w:rsid w:val="003E0132"/>
    <w:rsid w:val="00400F4A"/>
    <w:rsid w:val="00425500"/>
    <w:rsid w:val="00431B71"/>
    <w:rsid w:val="00463A59"/>
    <w:rsid w:val="00471A91"/>
    <w:rsid w:val="00483CD0"/>
    <w:rsid w:val="004943CA"/>
    <w:rsid w:val="004A68A1"/>
    <w:rsid w:val="004B05F0"/>
    <w:rsid w:val="00507AE7"/>
    <w:rsid w:val="00511148"/>
    <w:rsid w:val="00512C42"/>
    <w:rsid w:val="00524C31"/>
    <w:rsid w:val="00552BEB"/>
    <w:rsid w:val="0059058A"/>
    <w:rsid w:val="00590747"/>
    <w:rsid w:val="005948FE"/>
    <w:rsid w:val="005C1931"/>
    <w:rsid w:val="00600C16"/>
    <w:rsid w:val="00652A4E"/>
    <w:rsid w:val="00693619"/>
    <w:rsid w:val="006B5247"/>
    <w:rsid w:val="00716ABB"/>
    <w:rsid w:val="00724244"/>
    <w:rsid w:val="0074144F"/>
    <w:rsid w:val="00747464"/>
    <w:rsid w:val="00750963"/>
    <w:rsid w:val="0075387B"/>
    <w:rsid w:val="00754555"/>
    <w:rsid w:val="00766C2B"/>
    <w:rsid w:val="00774A04"/>
    <w:rsid w:val="00790C27"/>
    <w:rsid w:val="007E7564"/>
    <w:rsid w:val="00802D21"/>
    <w:rsid w:val="00806ABB"/>
    <w:rsid w:val="00840129"/>
    <w:rsid w:val="00840C7D"/>
    <w:rsid w:val="008534E4"/>
    <w:rsid w:val="008762E9"/>
    <w:rsid w:val="008B2592"/>
    <w:rsid w:val="008D11BA"/>
    <w:rsid w:val="00922C89"/>
    <w:rsid w:val="009372B5"/>
    <w:rsid w:val="00974C9F"/>
    <w:rsid w:val="009B2B5E"/>
    <w:rsid w:val="009E7C5D"/>
    <w:rsid w:val="00A04EE8"/>
    <w:rsid w:val="00A222BB"/>
    <w:rsid w:val="00A230FD"/>
    <w:rsid w:val="00A4220B"/>
    <w:rsid w:val="00A426D3"/>
    <w:rsid w:val="00A44C66"/>
    <w:rsid w:val="00A633FD"/>
    <w:rsid w:val="00AB572A"/>
    <w:rsid w:val="00AD4541"/>
    <w:rsid w:val="00B76FF2"/>
    <w:rsid w:val="00BC4599"/>
    <w:rsid w:val="00BD5D4F"/>
    <w:rsid w:val="00BD6ABF"/>
    <w:rsid w:val="00C718E9"/>
    <w:rsid w:val="00C831F9"/>
    <w:rsid w:val="00CC2E39"/>
    <w:rsid w:val="00D068AD"/>
    <w:rsid w:val="00D13627"/>
    <w:rsid w:val="00D15695"/>
    <w:rsid w:val="00D214F0"/>
    <w:rsid w:val="00D2219A"/>
    <w:rsid w:val="00D42D48"/>
    <w:rsid w:val="00D51C82"/>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401A3"/>
    <w:rsid w:val="00FA185A"/>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3</cp:revision>
  <dcterms:created xsi:type="dcterms:W3CDTF">2015-12-29T08:00:00Z</dcterms:created>
  <dcterms:modified xsi:type="dcterms:W3CDTF">2015-12-29T08:01:00Z</dcterms:modified>
</cp:coreProperties>
</file>