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45" w:rsidRDefault="006F2045" w:rsidP="006F2045">
      <w:pPr>
        <w:pStyle w:val="a3"/>
      </w:pPr>
      <w:r>
        <w:t>При Советской власти</w:t>
      </w:r>
    </w:p>
    <w:p w:rsidR="000E58A2" w:rsidRDefault="000E58A2" w:rsidP="000E58A2">
      <w:pPr>
        <w:pStyle w:val="a8"/>
      </w:pPr>
    </w:p>
    <w:p w:rsidR="006F2045" w:rsidRDefault="006F2045" w:rsidP="006F2045">
      <w:pPr>
        <w:pStyle w:val="aa"/>
      </w:pPr>
      <w:r>
        <w:t xml:space="preserve">В этом номере мы завершаем серию исторических очерков о Томской области. Последний рассказ будет о руководителях советского периода – начиная с возникновения Томской области в 1944 году и заканчивая распадом СССР в 1991 году. </w:t>
      </w:r>
    </w:p>
    <w:p w:rsidR="006F2045" w:rsidRDefault="006F2045" w:rsidP="006F2045">
      <w:pPr>
        <w:pStyle w:val="ab"/>
        <w:rPr>
          <w:sz w:val="28"/>
          <w:szCs w:val="28"/>
        </w:rPr>
      </w:pPr>
    </w:p>
    <w:p w:rsidR="006F2045" w:rsidRDefault="006F2045" w:rsidP="006F2045">
      <w:pPr>
        <w:pStyle w:val="af0"/>
      </w:pPr>
      <w:r>
        <w:t>Как развивалась область</w:t>
      </w:r>
    </w:p>
    <w:p w:rsidR="006F2045" w:rsidRDefault="006F2045" w:rsidP="006F2045">
      <w:pPr>
        <w:pStyle w:val="af0"/>
      </w:pPr>
    </w:p>
    <w:p w:rsidR="006F2045" w:rsidRDefault="006F2045" w:rsidP="006F2045">
      <w:pPr>
        <w:pStyle w:val="ab"/>
      </w:pPr>
      <w:r>
        <w:t xml:space="preserve">При советской власти высшим органом управления областью был областной комитет КПСС. Ему подчинялись городские и районные комитеты. «Лицом» области был первый секретарь обкома КПСС, избираемый решением пленума обкома.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В 1944 году, когда Томская область была выделена из состава Новосибирской, первым секретарём обкома стал Алексей Владимирович Сёмин, партийный функционер из Новосибирска.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Томск в то время был совершенно захолустным городишком, а область – настоящим «медвежьим углом». На всю область было 1,4 километра тротуаров, телефонная связь была налажена только с 7 районами из 21. Нефтяные месторождения ещё не были разведаны, а самым распространенным видом транспорта был водный. Сёмин называл его «транспорт Ермака».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И всё это предстояло вывести на уровень хотя бы соседнего Новосибирска... </w:t>
      </w:r>
    </w:p>
    <w:p w:rsidR="006F2045" w:rsidRDefault="006F2045" w:rsidP="006F2045">
      <w:pPr>
        <w:pStyle w:val="ab"/>
      </w:pPr>
      <w:r>
        <w:t>Алексей Владимирович работал в Томске до 1951 года, после чего партия отправила его поднимать Вологду.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На его место пришёл Василий Арсеньевич Москвин – сибиряк по происхождению, до Томска работавший в Новосибирске, Сталинске (нынешнем Новокузнецке), Кемерово. В годы его работы в области большой толчок развитию дал юбилей Томска: в 1954 году город отмечал 350-летие.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В принципе, у него были все шансы обойтись без праздника: 250-летие Ленинграда, например, из-за смерти Сталина отмечать не стали.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>Обосновал право Томска на проведение юбилея как раз Москвин – в письме Хрущеву. Благодаря юбилейной кампании 1954 г. в Томске в течение ряда последующих лет были построены железобетонный мост через Ушайку, вторая очередь трамвая от ул. Дальнеключевской до станции Томск-2, самый большой в Сибири трамплин и многое другое.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После 8 лет работы в Томске, в 1959 году, Москвин был направлен на аналогичную должность в Курган.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Следующим был Иван Тихонович Марченко. Это была птица высокого полёта, прямиком из Москвы. Как писал первый ректор ТИРиЭТа (ныне ТУСУР) Григорий Семенович Зубарев, Марченко приехал в Томск не по своему желанию, а по принуждению, семья его оставалась в Москве. «В шутку говорили, что за шесть лет пребывания в Томске самым значительным его предложением было закрыть Томскую область как самостоятельную административную единицу. Не будет области, не будет обкома КПСС – он снова вернется в Москву».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Собственно, мечта Марченко сбылась: в ноябре 1965 года он был освобожден от обязанностей первого секретаря обкома и назначен министром местной промышленности РСФСР. </w:t>
      </w:r>
    </w:p>
    <w:p w:rsidR="006F2045" w:rsidRDefault="006F2045" w:rsidP="006F2045">
      <w:pPr>
        <w:pStyle w:val="ab"/>
      </w:pPr>
    </w:p>
    <w:p w:rsidR="00700034" w:rsidRDefault="00700034" w:rsidP="006F2045">
      <w:pPr>
        <w:pStyle w:val="af0"/>
        <w:rPr>
          <w:lang w:val="ru-RU"/>
        </w:rPr>
      </w:pPr>
    </w:p>
    <w:p w:rsidR="00700034" w:rsidRDefault="00700034" w:rsidP="006F2045">
      <w:pPr>
        <w:pStyle w:val="af0"/>
        <w:rPr>
          <w:lang w:val="ru-RU"/>
        </w:rPr>
      </w:pPr>
    </w:p>
    <w:p w:rsidR="006F2045" w:rsidRDefault="006F2045" w:rsidP="006F2045">
      <w:pPr>
        <w:pStyle w:val="af0"/>
      </w:pPr>
      <w:r>
        <w:lastRenderedPageBreak/>
        <w:t>Эра Лигачёва</w:t>
      </w:r>
    </w:p>
    <w:p w:rsidR="006F2045" w:rsidRDefault="006F2045" w:rsidP="006F2045">
      <w:pPr>
        <w:pStyle w:val="af0"/>
        <w:rPr>
          <w:sz w:val="20"/>
          <w:szCs w:val="20"/>
        </w:rPr>
      </w:pPr>
    </w:p>
    <w:p w:rsidR="006F2045" w:rsidRDefault="006F2045" w:rsidP="006F2045">
      <w:pPr>
        <w:pStyle w:val="ab"/>
      </w:pPr>
      <w:r>
        <w:t xml:space="preserve">Без всякого сомнения, самой яркой фигурой в томской власти был Лигачёв. Со времени его ухода из Томска прошло уже больше 30 лет, а имя Егора Кузьмича до сих пор помнят все томичи.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В отличие от предшественника, Лигачёв, уже заместитель заведующего отделом агитации и пропаганды Бюро ЦК КПСС, сам попросился у Брежнева «куда-нибудь подальше от Москвы, желательно в Сибирь». Брежнев его и направил в захолустный город Томск. И Лигачёв был искренне заинтересован в том, чтобы сделать его лучше.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В чём-то ему повезло: как раз в те годы была разведана сибирская нефть и началось строительство северных городов, в том числе Стрежевого. В чём-то была непосредственно его заслуга. Благодаря открытию свинокомплекса и птицефабрики область стала обеспечивать себя сельскохозяйственной продукцией. Строились новые социальные объекты: Дворец зрелищ и спорта, драматический театр, автовокзал, аэропорт «Богашёво» и многие другие. Именно Лигачев добился учреждения в Томске филиалов СО АН СССР и АМН СССР, а также открытия ряда высших учебных заведений.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>А ещё Егор Кузьмич запомнился томичам как непримиримый борец с пьянством. Говорят, резиновая перчатка, которая надевалась на трёхлитровую банку с бормотухой и постепенно поднималась от винных паров, называлась «Привет Лигачёву».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>Путь Лигачёва в политике был долгим. В 1999 году, уже будучи 79-летним старцем, Егор Кузьмич был избран депутатом Государственной думы РФ от Томской области, и находился в ней до 2003 года.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f0"/>
      </w:pPr>
      <w:r>
        <w:t>Начали за здравие…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Достойным преемником Лигачёва был Александр Григорьевич Мельников. Сам Егор Кузьмич тепло отзывался о нём: «В Томской области А.Г. Мельников проработал 33 года. Он любил наш сибирский край, гордился тем, что ему знаком каждый уголок томской земли. Здесь он вырос в крупного руководителя, много сделал для развития экономики, социальной сферы области, к тому же пора была благодатная – пора активного социалистического созидания.»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При Мельникове объемы капитальных вложений возросли в 1,8 раза. Большое внимание он уделял развитию лесной и деревообрабатывающей промышленности, геологоразведке и добыче нефти и газа. </w:t>
      </w:r>
    </w:p>
    <w:p w:rsidR="006F2045" w:rsidRDefault="006F2045" w:rsidP="006F2045">
      <w:pPr>
        <w:pStyle w:val="ab"/>
      </w:pPr>
      <w:r>
        <w:t>Так, во время его работы произошла организационная и технологическая перестройка лесной промышленности, что обеспечило ее устойчивую работу.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Его преемник Виктор Ильич Зоркальцев, хотя и носил старинную томскую фамилию, родился в Хабаровском крае, а в Томск переехал с родителями в 4 года. Довольно рано начал заниматься комсомольской и партийной работой, а в 1986 году стал первым секретарем Томского обкома КПСС.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Зоркальцеву время досталось не самое простое: закат Союза, перестройка. Но он делал, что мог. Тот же Лигачёв назвал Виктора Ильича вместе с его предшественником настоящими профессионалами, знающими жизнь и вопросы управления, умевшими работать с людьми.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>Между прочим, именно при Зоркальцеве Томская область достигла максимальных показателей по строительству жилья и объектов соцкультбыта, добилась весомых успехов в сельском хозяйстве, сфере науки и образования.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 xml:space="preserve">Последним секретарём томского обкома был Александр Адрианович Поморов. Если и обладал он какими-то особыми управленческими качествами – проявить их ему было сложно: он занимал пост секретаря обкома в смутное время, с 1989 по 1991 годы. 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lastRenderedPageBreak/>
        <w:t>Но вот Егор Кузьмич Лигачёв, если брать его частное мнение за мерило заслуг руководителей области, в интервью «Красному знамени» в 2014 году, обошёл Поморова молчанием, хотя с уважением высказался и о его предшественниках, и о преемниках.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b"/>
      </w:pPr>
      <w:r>
        <w:t>Губернатором Поморов не стал: на выборах 1993 года с большим отрывом его обошёл Виктор Кресс. Началась новая эпоха, давать оценки которой мы пока воздержимся. Пусть о нашем времени судят историки будущего.</w:t>
      </w:r>
    </w:p>
    <w:p w:rsidR="006F2045" w:rsidRDefault="006F2045" w:rsidP="006F2045">
      <w:pPr>
        <w:pStyle w:val="ab"/>
      </w:pPr>
    </w:p>
    <w:p w:rsidR="006F2045" w:rsidRDefault="006F2045" w:rsidP="006F2045">
      <w:pPr>
        <w:pStyle w:val="ac"/>
      </w:pPr>
      <w:r>
        <w:t>Екатерина Кайгородова</w:t>
      </w:r>
    </w:p>
    <w:p w:rsidR="00354B27" w:rsidRPr="000E6DB3" w:rsidRDefault="00354B27" w:rsidP="006F2045">
      <w:pPr>
        <w:pStyle w:val="aa"/>
      </w:pPr>
    </w:p>
    <w:sectPr w:rsidR="00354B27" w:rsidRPr="000E6DB3" w:rsidSect="00202070">
      <w:headerReference w:type="default" r:id="rId6"/>
      <w:pgSz w:w="11907" w:h="16839" w:code="9"/>
      <w:pgMar w:top="1390" w:right="425" w:bottom="993" w:left="426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C7" w:rsidRDefault="003227C7" w:rsidP="002868CF">
      <w:pPr>
        <w:spacing w:before="0"/>
      </w:pPr>
      <w:r>
        <w:separator/>
      </w:r>
    </w:p>
  </w:endnote>
  <w:endnote w:type="continuationSeparator" w:id="1">
    <w:p w:rsidR="003227C7" w:rsidRDefault="003227C7" w:rsidP="002868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cademi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C7" w:rsidRDefault="003227C7" w:rsidP="002868CF">
      <w:pPr>
        <w:spacing w:before="0"/>
      </w:pPr>
      <w:r>
        <w:separator/>
      </w:r>
    </w:p>
  </w:footnote>
  <w:footnote w:type="continuationSeparator" w:id="1">
    <w:p w:rsidR="003227C7" w:rsidRDefault="003227C7" w:rsidP="002868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0D266B" w:rsidRDefault="002868CF" w:rsidP="002868CF">
    <w:pPr>
      <w:pStyle w:val="a4"/>
      <w:ind w:left="0"/>
      <w:rPr>
        <w:rFonts w:ascii="Academia" w:hAnsi="Academia"/>
        <w:color w:val="808080" w:themeColor="background1" w:themeShade="80"/>
        <w:sz w:val="24"/>
        <w:szCs w:val="24"/>
      </w:rPr>
    </w:pP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ВЕСТНИК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№</w:t>
    </w:r>
    <w:r w:rsidR="00700034">
      <w:rPr>
        <w:color w:val="808080" w:themeColor="background1" w:themeShade="80"/>
        <w:sz w:val="24"/>
        <w:szCs w:val="24"/>
      </w:rPr>
      <w:t>5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2014                                          </w:t>
    </w:r>
    <w:r w:rsidRPr="000D266B">
      <w:rPr>
        <w:color w:val="808080" w:themeColor="background1" w:themeShade="80"/>
        <w:sz w:val="24"/>
        <w:szCs w:val="24"/>
      </w:rPr>
      <w:t xml:space="preserve">       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ЖУРНАЛ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АССОЦИАЦИИ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«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СОВЕТ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МУНИЦИПАЛЬНЫХ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 xml:space="preserve"> </w:t>
    </w:r>
    <w:r w:rsidRPr="000D266B">
      <w:rPr>
        <w:rFonts w:ascii="Myriad Pro Cond" w:hAnsi="Myriad Pro Cond"/>
        <w:color w:val="808080" w:themeColor="background1" w:themeShade="80"/>
        <w:sz w:val="24"/>
        <w:szCs w:val="24"/>
      </w:rPr>
      <w:t>ОБРАЗОВАНИЙ</w:t>
    </w:r>
    <w:r w:rsidRPr="000D266B">
      <w:rPr>
        <w:rFonts w:ascii="Academia" w:hAnsi="Academia"/>
        <w:color w:val="808080" w:themeColor="background1" w:themeShade="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8CF"/>
    <w:rsid w:val="00037B96"/>
    <w:rsid w:val="00044970"/>
    <w:rsid w:val="00055DAD"/>
    <w:rsid w:val="00095763"/>
    <w:rsid w:val="000D266B"/>
    <w:rsid w:val="000E58A2"/>
    <w:rsid w:val="000E6DB3"/>
    <w:rsid w:val="00163702"/>
    <w:rsid w:val="00202070"/>
    <w:rsid w:val="00270ADC"/>
    <w:rsid w:val="002868CF"/>
    <w:rsid w:val="003227C7"/>
    <w:rsid w:val="00354B27"/>
    <w:rsid w:val="00387B45"/>
    <w:rsid w:val="003C36CD"/>
    <w:rsid w:val="003E0132"/>
    <w:rsid w:val="003F27FB"/>
    <w:rsid w:val="00471A91"/>
    <w:rsid w:val="00483CD0"/>
    <w:rsid w:val="004A0288"/>
    <w:rsid w:val="004A68A1"/>
    <w:rsid w:val="004C36C5"/>
    <w:rsid w:val="005C0226"/>
    <w:rsid w:val="005C381F"/>
    <w:rsid w:val="005E0A38"/>
    <w:rsid w:val="005F3D4C"/>
    <w:rsid w:val="00636D8E"/>
    <w:rsid w:val="006F2045"/>
    <w:rsid w:val="00700034"/>
    <w:rsid w:val="008D52C2"/>
    <w:rsid w:val="00922C89"/>
    <w:rsid w:val="00964A84"/>
    <w:rsid w:val="00A44C66"/>
    <w:rsid w:val="00AA351D"/>
    <w:rsid w:val="00AD4541"/>
    <w:rsid w:val="00B76FF2"/>
    <w:rsid w:val="00BC4599"/>
    <w:rsid w:val="00BD6ABF"/>
    <w:rsid w:val="00D068AD"/>
    <w:rsid w:val="00D51C82"/>
    <w:rsid w:val="00DA16CB"/>
    <w:rsid w:val="00DF005D"/>
    <w:rsid w:val="00E44EC3"/>
    <w:rsid w:val="00E70C60"/>
    <w:rsid w:val="00E86355"/>
    <w:rsid w:val="00E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before="0" w:line="288" w:lineRule="auto"/>
      <w:ind w:left="283"/>
      <w:textAlignment w:val="center"/>
    </w:pPr>
    <w:rPr>
      <w:rFonts w:ascii="Arial Black" w:hAnsi="Arial Black" w:cs="Arial Black"/>
      <w:caps/>
      <w:color w:val="003782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68CF"/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before="0" w:line="288" w:lineRule="auto"/>
      <w:ind w:left="0"/>
      <w:jc w:val="both"/>
      <w:textAlignment w:val="center"/>
    </w:pPr>
    <w:rPr>
      <w:rFonts w:ascii="Arial" w:hAnsi="Arial" w:cs="Arial"/>
      <w:color w:val="FFFFFF"/>
      <w:sz w:val="18"/>
      <w:szCs w:val="18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Абзац"/>
    <w:basedOn w:val="NoParagraphStyle"/>
    <w:uiPriority w:val="99"/>
    <w:rsid w:val="00037B96"/>
    <w:pPr>
      <w:ind w:left="283"/>
    </w:pPr>
    <w:rPr>
      <w:rFonts w:ascii="Arial Narrow" w:hAnsi="Arial Narrow" w:cs="Arial Narrow"/>
      <w:caps/>
      <w:color w:val="003782"/>
      <w:sz w:val="28"/>
      <w:szCs w:val="28"/>
    </w:rPr>
  </w:style>
  <w:style w:type="paragraph" w:styleId="af1">
    <w:name w:val="Subtitle"/>
    <w:basedOn w:val="af"/>
    <w:link w:val="af2"/>
    <w:uiPriority w:val="99"/>
    <w:qFormat/>
    <w:rsid w:val="004A0288"/>
  </w:style>
  <w:style w:type="character" w:customStyle="1" w:styleId="af2">
    <w:name w:val="Подзаголовок Знак"/>
    <w:basedOn w:val="a0"/>
    <w:link w:val="af1"/>
    <w:uiPriority w:val="99"/>
    <w:rsid w:val="004A0288"/>
    <w:rPr>
      <w:rFonts w:ascii="Arial Narrow" w:hAnsi="Arial Narrow" w:cs="Arial Narrow"/>
      <w:color w:val="00378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2015-01-15T04:48:00Z</dcterms:created>
  <dcterms:modified xsi:type="dcterms:W3CDTF">2015-01-20T03:03:00Z</dcterms:modified>
</cp:coreProperties>
</file>