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4" w:rsidRPr="000D7214" w:rsidRDefault="000D7214" w:rsidP="000D7214">
      <w:pPr>
        <w:autoSpaceDE w:val="0"/>
        <w:autoSpaceDN w:val="0"/>
        <w:adjustRightInd w:val="0"/>
        <w:spacing w:after="0" w:line="240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0D7214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 xml:space="preserve">вопросы капремонта и </w:t>
      </w:r>
    </w:p>
    <w:p w:rsidR="00994F34" w:rsidRDefault="000D7214" w:rsidP="000D7214">
      <w:pPr>
        <w:pStyle w:val="af1"/>
        <w:spacing w:line="240" w:lineRule="auto"/>
        <w:ind w:left="284"/>
        <w:rPr>
          <w:rFonts w:ascii="Arial Black" w:hAnsi="Arial Black" w:cs="Arial Black"/>
          <w:sz w:val="48"/>
          <w:szCs w:val="48"/>
          <w:lang w:val="ru-RU"/>
        </w:rPr>
      </w:pPr>
      <w:r w:rsidRPr="000D7214">
        <w:rPr>
          <w:rFonts w:ascii="Arial Black" w:hAnsi="Arial Black" w:cs="Arial Black"/>
          <w:sz w:val="48"/>
          <w:szCs w:val="48"/>
          <w:lang w:val="ru-RU"/>
        </w:rPr>
        <w:t>реконструкции</w:t>
      </w:r>
    </w:p>
    <w:p w:rsidR="000D7214" w:rsidRPr="000D7214" w:rsidRDefault="000D7214" w:rsidP="000D7214">
      <w:pPr>
        <w:pStyle w:val="af1"/>
        <w:jc w:val="right"/>
        <w:rPr>
          <w:caps w:val="0"/>
          <w:lang w:val="ru-RU"/>
        </w:rPr>
      </w:pPr>
      <w:r w:rsidRPr="000D7214">
        <w:rPr>
          <w:caps w:val="0"/>
          <w:lang w:val="ru-RU"/>
        </w:rPr>
        <w:t>Дайджест дел Управления Федеральной антимонопольной службы</w:t>
      </w:r>
    </w:p>
    <w:p w:rsidR="000D7214" w:rsidRPr="00994F34" w:rsidRDefault="000D7214" w:rsidP="000D7214">
      <w:pPr>
        <w:pStyle w:val="af1"/>
        <w:spacing w:line="240" w:lineRule="auto"/>
        <w:ind w:left="284"/>
        <w:jc w:val="right"/>
        <w:rPr>
          <w:rFonts w:ascii="Arial Black" w:hAnsi="Arial Black" w:cs="Arial Black"/>
          <w:color w:val="auto"/>
          <w:sz w:val="48"/>
          <w:szCs w:val="48"/>
          <w:lang w:val="ru-RU"/>
        </w:rPr>
      </w:pPr>
      <w:r w:rsidRPr="000D7214">
        <w:rPr>
          <w:caps w:val="0"/>
          <w:lang w:val="ru-RU"/>
        </w:rPr>
        <w:t>по Томской области</w:t>
      </w:r>
    </w:p>
    <w:p w:rsidR="00994F34" w:rsidRPr="00994F34" w:rsidRDefault="00994F34" w:rsidP="00994F34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9"/>
          <w:szCs w:val="19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0D7214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***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10"/>
          <w:szCs w:val="1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27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Томское Управление Федеральной антимонопольной службы рассмотрело дело, возбужденное по жалобе ООО «СТРОЙТЕХГРУПП» на действия Администрации муниципального образования «</w:t>
      </w:r>
      <w:proofErr w:type="spell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Асиновское</w:t>
      </w:r>
      <w:proofErr w:type="spellEnd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городское поселение» при проведении электронного аукциона «Реконструкция водозабора и станции очистки питьевой воды в городе Асино Томской области», нарушающие, по мнению заявителя, Федеральный закон № 44-ФЗ.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 жалобе заявитель указал, что документация об электронном аукционе утверждена с нарушением требований Федерального закона № 44-ФЗ. Начальная (максимальная) цена муниципального контракта составила 33 372 620 рублей.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Комиссия Управления Федеральной антимонопольной службы по Томской области выяснила, что срок выполнения работ установлен в течение 80 календарных дней со дня подписания муниципального контракта. 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Вместе с тем, пунктом 2.1 проекта контракта установлено, что муниципальный контра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кт вст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упает в силу со дня его подписания обеими сторонами и действует до 20 декабря 2015 года. 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Таким образом, учитывая сроки для заключения контракта, муниципальный контракт прекращает свое действие ранее установленного срока для выполнения работ, что влечет невозможность его исполнения. 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Установление муниципальным заказчиком разных сроков выполнения работ и срока действия контракта, нарушает статьи 33 и 42 Федерального закона № 44-ФЗ.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Также комиссия Томского УФАС России установила, что в проекте контракта размеры штрафов, установленные заказчиком, не соответствуют правилам, утвержденным Постановлением Правительства Российской Федерации от 25.11.2013 №1063.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Кроме этого, заказчиком в описании объекта закупки установлен показатель, не соответствующий требованиям законодательства о техническом регулировании, а именно </w:t>
      </w:r>
      <w:proofErr w:type="spell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ГОСТу</w:t>
      </w:r>
      <w:proofErr w:type="spell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55025-2012.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связи 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изложенным, жалоба признана частично обоснованной. Выдано предписание об аннулировании закупки.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0D7214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***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10"/>
          <w:szCs w:val="1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gram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Комиссия Управления Федеральной антимонопольной службы по Томской области признала обоснованной жалобу ООО «Гермес Центр» на действия заказчика МБОУ «</w:t>
      </w:r>
      <w:proofErr w:type="spell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Чернореченская</w:t>
      </w:r>
      <w:proofErr w:type="spellEnd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средняя общеобразовательная школа» при проведении электронного аукциона на выполнение работ по капитальному ремонту МБОУ «</w:t>
      </w:r>
      <w:proofErr w:type="spell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Чернореченская</w:t>
      </w:r>
      <w:proofErr w:type="spellEnd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средняя общеобразовательная школа» Томского района с помещениями дошкольного образовательного учреждения по ул. Береговой, д. 5 в деревне Черная речка Томского района.</w:t>
      </w:r>
      <w:proofErr w:type="gramEnd"/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Начальная (максимальная) цена контракта составила 9 883 390 рублей.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В своей жалобе заявитель указал, что документация электронного аукциона составлена с нарушениями закона «О контрактной системе в сфере закупок товаров, работ, услуг для обеспечения государственных и муниципальных нужд». 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Это не позволяет участникам закупки подать заявки на участие в соответствии с требованиями законодательства и документации об аукционе одновременно.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ходе рассмотрения дела Комиссия Управления Федеральной антимонопольной службы по Томской области пришла к выводу, что заказчик в документации об аукционе 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допустил опечатку в наименовании товара, ошибочно указав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«Прокладка», при этом установив характеристики к </w:t>
      </w:r>
      <w:proofErr w:type="spell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водогазопроводной</w:t>
      </w:r>
      <w:proofErr w:type="spell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трубе. Указанные характеристики трубы не соответствовали характеристикам, указанным в </w:t>
      </w:r>
      <w:proofErr w:type="spell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ГОСТе</w:t>
      </w:r>
      <w:proofErr w:type="spell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3262-75.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Кроме того, заказчик не указал конкретные работы, на которые необходим допуск СРО, так же 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разместил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сводный сметный расчет и локальные сметные расчеты не в полном объеме.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Таким образом, комиссия Томского УФАС России признала жалоб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у ООО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«Гермес Центр» на действия заказчика при проведении открытого аукциона в электронной форме обоснованной и предписала МБОУ «</w:t>
      </w:r>
      <w:proofErr w:type="spell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Чернореченская</w:t>
      </w:r>
      <w:proofErr w:type="spell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средняя общеобразовательная школа» аннулировать закупку.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0D7214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***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10"/>
          <w:szCs w:val="1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Комиссией Управления Федеральной антимонопольной службы по Томской области рассмотрено дело, возбужденное по жалобе ООО «СТРОЙТЕХГРУПП» на действия заказчика при проведении электронного аукциона «Газоснабжение жилых зданий микрорайона «Новоспасский» с. </w:t>
      </w:r>
      <w:proofErr w:type="spell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Коларово</w:t>
      </w:r>
      <w:proofErr w:type="spellEnd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Томского района Томской области».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 жалобе заявитель указывает, что документация об электронном аукционе утверждена с нарушением требований Федерального закона  № 44-ФЗ: заказчик требует в составе вторых частей заявок допуск СРО на конкретные виды работ.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Начальная (максимальная) цена муниципального контракта составляет 16 283 890 рублей.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Заказчик: Управление ЖКХ, строительства, транспорта и связи администрации Томского района.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Изучив проект контракта, Комиссия Управления Федеральной антимонопольной службы по Томской области установила, что работы по муниципальному контракту должны быть выполнены лично подрядчиком (победителем электронного аукциона), без привлечения субподрядных организаций.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Комиссия Томского УФАС России пришла к выводу, что в действиях заказчика по установлению в документации об электронном аукционе требований к участникам закупки и составу вторых частей заявок, в частности о наличии допуска СРО на конкретные виды работ, отсутствует нарушение законодательства о контрактной системе.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связи 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изложенным, жалоба признана необоснованной.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0D7214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***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left="283" w:firstLine="0"/>
        <w:jc w:val="center"/>
        <w:textAlignment w:val="center"/>
        <w:rPr>
          <w:rFonts w:ascii="Arial Black" w:eastAsiaTheme="minorHAnsi" w:hAnsi="Arial Black" w:cs="Arial Black"/>
          <w:caps/>
          <w:color w:val="003782"/>
          <w:sz w:val="10"/>
          <w:szCs w:val="1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proofErr w:type="gram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22 октября 2015 года Томским Управлением Федеральной антимонопольной службы рассмотрены две жалобы ООО «</w:t>
      </w:r>
      <w:proofErr w:type="spellStart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РентСервис</w:t>
      </w:r>
      <w:proofErr w:type="spellEnd"/>
      <w:r w:rsidRPr="000D7214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» на действия заказчика – ОГБОУ ВПО «Сибирский государственный медицинский университет» при проведении электронных аукционов на осуществление капитального ремонта тепловых узлов университета по адресу Московский тракт, д. 2 с начальной максимальной ценой контракта –   1 197 110 рублей и Факультетских клиник – начальная максимальная цена контракта – 1 419 231 рублей.</w:t>
      </w:r>
      <w:proofErr w:type="gramEnd"/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По итогам рассмотрения установлено, что заказчиком ОГБОУ ВПО «Сибирский государственный медицинский университет» были нарушены требования Федерального закона № 44-ФЗ, выразившиеся в установлении неправомерных требований в описании объекта закупки в отношении товарного </w:t>
      </w:r>
      <w:proofErr w:type="gram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знака</w:t>
      </w:r>
      <w:proofErr w:type="gram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закупаемого крана «</w:t>
      </w:r>
      <w:proofErr w:type="spell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BroenBallomax</w:t>
      </w:r>
      <w:proofErr w:type="spell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» без возможности предложения эквивалента, а также в использовании </w:t>
      </w:r>
      <w:proofErr w:type="spellStart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ГОСТа</w:t>
      </w:r>
      <w:proofErr w:type="spellEnd"/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который утратил силу.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Установление дополнительных требований, не предусмотренных  законом, ведет к сокращению количества участников аукциона.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D72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Таким образом, Томское УФАС России выдало ОГБОУ ВПО «Сибирский государственный медицинский университет» предписание об отмене закупок.</w:t>
      </w: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7214" w:rsidRPr="000D7214" w:rsidRDefault="000D7214" w:rsidP="000D7214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0D7214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Пресс-служба </w:t>
      </w:r>
    </w:p>
    <w:p w:rsidR="00994F34" w:rsidRPr="00994F34" w:rsidRDefault="000D7214" w:rsidP="000D7214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caps/>
        </w:rPr>
      </w:pPr>
      <w:proofErr w:type="gramStart"/>
      <w:r w:rsidRPr="000D7214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Томского</w:t>
      </w:r>
      <w:proofErr w:type="gramEnd"/>
      <w:r w:rsidRPr="000D7214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 xml:space="preserve"> УФАС России</w:t>
      </w:r>
    </w:p>
    <w:sectPr w:rsidR="00994F34" w:rsidRPr="00994F34" w:rsidSect="00255CB8">
      <w:headerReference w:type="default" r:id="rId6"/>
      <w:pgSz w:w="11907" w:h="16839" w:code="9"/>
      <w:pgMar w:top="1099" w:right="567" w:bottom="709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C5" w:rsidRDefault="002F65C5" w:rsidP="002868CF">
      <w:r>
        <w:separator/>
      </w:r>
    </w:p>
  </w:endnote>
  <w:endnote w:type="continuationSeparator" w:id="0">
    <w:p w:rsidR="002F65C5" w:rsidRDefault="002F65C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C5" w:rsidRDefault="002F65C5" w:rsidP="002868CF">
      <w:r>
        <w:separator/>
      </w:r>
    </w:p>
  </w:footnote>
  <w:footnote w:type="continuationSeparator" w:id="0">
    <w:p w:rsidR="002F65C5" w:rsidRDefault="002F65C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FF3348" w:rsidRDefault="002868CF" w:rsidP="00FF3348">
    <w:pPr>
      <w:pStyle w:val="a4"/>
      <w:tabs>
        <w:tab w:val="clear" w:pos="9355"/>
        <w:tab w:val="right" w:pos="10773"/>
      </w:tabs>
      <w:rPr>
        <w:rFonts w:ascii="Academia" w:hAnsi="Academia"/>
        <w:sz w:val="18"/>
        <w:szCs w:val="18"/>
      </w:rPr>
    </w:pPr>
    <w:r w:rsidRPr="00FF3348">
      <w:rPr>
        <w:sz w:val="18"/>
        <w:szCs w:val="18"/>
      </w:rPr>
      <w:t>ВЕСТНИК</w:t>
    </w:r>
    <w:r w:rsidRPr="00FF3348">
      <w:rPr>
        <w:rFonts w:ascii="Academia" w:hAnsi="Academia"/>
        <w:sz w:val="18"/>
        <w:szCs w:val="18"/>
      </w:rPr>
      <w:t xml:space="preserve">  </w:t>
    </w:r>
    <w:r w:rsidRPr="00FF3348">
      <w:rPr>
        <w:sz w:val="18"/>
        <w:szCs w:val="18"/>
      </w:rPr>
      <w:t>№</w:t>
    </w:r>
    <w:r w:rsidR="00FF3348" w:rsidRPr="00FF3348">
      <w:rPr>
        <w:sz w:val="18"/>
        <w:szCs w:val="18"/>
      </w:rPr>
      <w:t xml:space="preserve"> </w:t>
    </w:r>
    <w:r w:rsidR="00716ABB">
      <w:rPr>
        <w:sz w:val="18"/>
        <w:szCs w:val="18"/>
      </w:rPr>
      <w:t>4</w:t>
    </w:r>
    <w:r w:rsidRPr="00FF3348">
      <w:rPr>
        <w:rFonts w:ascii="Academia" w:hAnsi="Academia"/>
        <w:sz w:val="18"/>
        <w:szCs w:val="18"/>
      </w:rPr>
      <w:t xml:space="preserve"> </w:t>
    </w:r>
    <w:r w:rsidR="00716ABB">
      <w:rPr>
        <w:rFonts w:asciiTheme="minorHAnsi" w:hAnsiTheme="minorHAnsi"/>
        <w:sz w:val="18"/>
        <w:szCs w:val="18"/>
      </w:rPr>
      <w:t xml:space="preserve"> </w:t>
    </w:r>
    <w:r w:rsidRPr="00FF3348">
      <w:rPr>
        <w:rFonts w:ascii="Academia" w:hAnsi="Academia"/>
        <w:sz w:val="18"/>
        <w:szCs w:val="18"/>
      </w:rPr>
      <w:t>201</w:t>
    </w:r>
    <w:r w:rsidR="00974C9F" w:rsidRPr="00FF3348">
      <w:rPr>
        <w:rFonts w:ascii="Academia" w:hAnsi="Academia"/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         </w:t>
    </w:r>
    <w:r w:rsidR="00FF3348" w:rsidRPr="00FF3348">
      <w:rPr>
        <w:rFonts w:ascii="Academia" w:hAnsi="Academia"/>
        <w:sz w:val="18"/>
        <w:szCs w:val="18"/>
      </w:rPr>
      <w:t xml:space="preserve">                      </w:t>
    </w:r>
    <w:r w:rsidR="00716ABB">
      <w:rPr>
        <w:rFonts w:asciiTheme="minorHAnsi" w:hAnsiTheme="minorHAnsi"/>
        <w:sz w:val="18"/>
        <w:szCs w:val="18"/>
      </w:rPr>
      <w:t xml:space="preserve">                      </w:t>
    </w:r>
    <w:r w:rsidR="00200E3E"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ЖУРНАЛ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АССОЦИАЦИИ</w:t>
    </w:r>
    <w:r w:rsidRPr="00FF3348">
      <w:rPr>
        <w:rFonts w:ascii="Academia" w:hAnsi="Academia"/>
        <w:sz w:val="18"/>
        <w:szCs w:val="18"/>
      </w:rPr>
      <w:t xml:space="preserve"> «</w:t>
    </w:r>
    <w:r w:rsidRPr="00FF3348">
      <w:rPr>
        <w:sz w:val="18"/>
        <w:szCs w:val="18"/>
      </w:rPr>
      <w:t>СОВЕТ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МУНИЦИПАЛЬНЫХ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ОБРАЗОВАНИЙ</w:t>
    </w:r>
    <w:r w:rsidRPr="00FF3348">
      <w:rPr>
        <w:rFonts w:ascii="Academia" w:hAnsi="Academia"/>
        <w:sz w:val="18"/>
        <w:szCs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9463E"/>
    <w:rsid w:val="000B3844"/>
    <w:rsid w:val="000B4F4B"/>
    <w:rsid w:val="000C19BE"/>
    <w:rsid w:val="000C3C42"/>
    <w:rsid w:val="000D1802"/>
    <w:rsid w:val="000D7214"/>
    <w:rsid w:val="00174C70"/>
    <w:rsid w:val="00185AE8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469C"/>
    <w:rsid w:val="002F399B"/>
    <w:rsid w:val="002F65C5"/>
    <w:rsid w:val="00354B27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0EE8"/>
    <w:rsid w:val="004943CA"/>
    <w:rsid w:val="004A68A1"/>
    <w:rsid w:val="004B05F0"/>
    <w:rsid w:val="00507AE7"/>
    <w:rsid w:val="00511148"/>
    <w:rsid w:val="00512C42"/>
    <w:rsid w:val="00524C31"/>
    <w:rsid w:val="0059058A"/>
    <w:rsid w:val="00590747"/>
    <w:rsid w:val="005948FE"/>
    <w:rsid w:val="005C1931"/>
    <w:rsid w:val="00600C16"/>
    <w:rsid w:val="00652A4E"/>
    <w:rsid w:val="00693619"/>
    <w:rsid w:val="00716ABB"/>
    <w:rsid w:val="00724244"/>
    <w:rsid w:val="0074144F"/>
    <w:rsid w:val="00747464"/>
    <w:rsid w:val="00750963"/>
    <w:rsid w:val="00754555"/>
    <w:rsid w:val="00766C2B"/>
    <w:rsid w:val="00774A04"/>
    <w:rsid w:val="00790C27"/>
    <w:rsid w:val="007D650E"/>
    <w:rsid w:val="007E7564"/>
    <w:rsid w:val="00802D21"/>
    <w:rsid w:val="00806ABB"/>
    <w:rsid w:val="00840129"/>
    <w:rsid w:val="00840C7D"/>
    <w:rsid w:val="008534E4"/>
    <w:rsid w:val="008B2592"/>
    <w:rsid w:val="008D11BA"/>
    <w:rsid w:val="00922C89"/>
    <w:rsid w:val="009372B5"/>
    <w:rsid w:val="00974C9F"/>
    <w:rsid w:val="00994F34"/>
    <w:rsid w:val="009B0185"/>
    <w:rsid w:val="009B2B5E"/>
    <w:rsid w:val="00A04EE8"/>
    <w:rsid w:val="00A222BB"/>
    <w:rsid w:val="00A230FD"/>
    <w:rsid w:val="00A4220B"/>
    <w:rsid w:val="00A44C66"/>
    <w:rsid w:val="00A633FD"/>
    <w:rsid w:val="00AB572A"/>
    <w:rsid w:val="00AD4541"/>
    <w:rsid w:val="00B76FF2"/>
    <w:rsid w:val="00BC4599"/>
    <w:rsid w:val="00BD5D4F"/>
    <w:rsid w:val="00BD6ABF"/>
    <w:rsid w:val="00C547C9"/>
    <w:rsid w:val="00C718E9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2015-11-23T05:30:00Z</dcterms:created>
  <dcterms:modified xsi:type="dcterms:W3CDTF">2015-11-23T05:30:00Z</dcterms:modified>
</cp:coreProperties>
</file>