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8" w:rsidRDefault="00E44AB8" w:rsidP="00E44AB8">
      <w:pPr>
        <w:pStyle w:val="af5"/>
        <w:rPr>
          <w:sz w:val="60"/>
          <w:szCs w:val="60"/>
        </w:rPr>
      </w:pPr>
      <w:r>
        <w:rPr>
          <w:sz w:val="60"/>
          <w:szCs w:val="60"/>
        </w:rPr>
        <w:t xml:space="preserve">важные стратегии </w:t>
      </w:r>
    </w:p>
    <w:p w:rsidR="00813939" w:rsidRDefault="00813939" w:rsidP="00813939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</w:p>
    <w:p w:rsidR="00E44AB8" w:rsidRDefault="00E44AB8" w:rsidP="00E44AB8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4"/>
          <w:szCs w:val="24"/>
          <w:lang w:eastAsia="en-US"/>
        </w:rPr>
      </w:pPr>
      <w:r w:rsidRPr="00E44AB8">
        <w:rPr>
          <w:rFonts w:ascii="PT Serif Caption" w:eastAsiaTheme="minorHAnsi" w:hAnsi="PT Serif Caption" w:cs="PT Serif Caption"/>
          <w:i/>
          <w:iCs/>
          <w:color w:val="3C3C3B"/>
          <w:sz w:val="24"/>
          <w:szCs w:val="24"/>
          <w:lang w:eastAsia="en-US"/>
        </w:rPr>
        <w:t>В ноябре-декабре на площадке Совета состоялись две стратегические сессии. Одна из них касалась программы обучения вновь избранных глав муниципальных образований, вторая – мер поддержки территориального общественного самоуправления. Такой формат работы был выбран не случайно, поскольку именно эти вопросы требовали на сегодняшний день корректировки генерального курса развития.</w:t>
      </w:r>
    </w:p>
    <w:p w:rsidR="00E44AB8" w:rsidRDefault="00E44AB8" w:rsidP="00E44AB8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4"/>
          <w:szCs w:val="24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</w:pPr>
      <w:r w:rsidRPr="00E44AB8"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  <w:t xml:space="preserve">Справка 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20"/>
          <w:szCs w:val="20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pacing w:val="4"/>
          <w:sz w:val="18"/>
          <w:szCs w:val="18"/>
          <w:lang w:eastAsia="en-US"/>
        </w:rPr>
        <w:t xml:space="preserve">Стратегическая сессия — это </w:t>
      </w: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особая форма командной работы (как правило, команды руководителей), которая направлена на составление стратегических планов организации, принятие важных решений или же распределение ролей участников сессии в реализации того или иного плана.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</w:p>
    <w:p w:rsidR="00E44AB8" w:rsidRPr="00E44AB8" w:rsidRDefault="00E44AB8" w:rsidP="00E44AB8">
      <w:pPr>
        <w:suppressAutoHyphens/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Цель любой стратегической сессии: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— максимально сблизить позиции отраслевых руководителей  и сформировать единое стратегическое видение направлений развития организации;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— максимально учесть интересы всех заинтересованных групп при разработке стратегии;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Helvetica Light Oblique"/>
          <w:iCs/>
          <w:color w:val="3C3C3B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— проанализировать состояние и внутренние возможности организации;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left="2835" w:firstLine="0"/>
        <w:textAlignment w:val="center"/>
        <w:rPr>
          <w:rFonts w:eastAsiaTheme="minorHAnsi" w:cs="PT Serif Caption"/>
          <w:color w:val="3C3C3B"/>
          <w:spacing w:val="2"/>
          <w:sz w:val="18"/>
          <w:szCs w:val="18"/>
          <w:lang w:eastAsia="en-US"/>
        </w:rPr>
      </w:pPr>
      <w:r w:rsidRPr="00E44AB8">
        <w:rPr>
          <w:rFonts w:eastAsiaTheme="minorHAnsi" w:cs="Helvetica Light Oblique"/>
          <w:iCs/>
          <w:color w:val="3C3C3B"/>
          <w:sz w:val="18"/>
          <w:szCs w:val="18"/>
          <w:lang w:eastAsia="en-US"/>
        </w:rPr>
        <w:t>—сформулировать стратегические альтернативы развития и идеи для достижения стратегических целей.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left="2835" w:firstLine="0"/>
        <w:jc w:val="left"/>
        <w:textAlignment w:val="center"/>
        <w:rPr>
          <w:rFonts w:eastAsiaTheme="minorHAnsi" w:cs="Roboto"/>
          <w:b/>
          <w:bCs/>
          <w:color w:val="3C3C3B"/>
          <w:sz w:val="36"/>
          <w:szCs w:val="36"/>
          <w:lang w:eastAsia="en-US"/>
        </w:rPr>
      </w:pP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E44AB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КАКИЕ УРОКИ ДОЛЖНЫ БЫТЬ В МУНИЦИПАЛЬНОЙ ШКОЛЕ?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Пог</w:t>
      </w: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ружение вновь избранных глав поселений в систему муниципального управления традиционно проводится после проведения каждой избирательной кампании. 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И этот год не стал исключением. Ведь многие из «новобранцев» прежде были заняты в совершенно иных областях деятельности и в системе государственно-муниципального управления не работали. 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Именно поэтому действующую программу </w:t>
      </w:r>
      <w:proofErr w:type="gramStart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повышения квалификации должностных лиц местного самоуправления Томской области</w:t>
      </w:r>
      <w:proofErr w:type="gramEnd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  решено было модернизировать — спланировать более оптимальное время для учебных сессий и подкорректировать тематическую составляющую, чтобы сберечь силы слушателей, а процесс обучения сделать более увлекательным и соответственно продуктивным.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Для этого на площадке Совета за «круглым столом» собрались представители Департамента государственной гражданской службы и Департамента муниципального развития администрации Томской области, а также главы районов и сельских поселений, имеющие большой багаж знаний и опыта. </w:t>
      </w:r>
    </w:p>
    <w:p w:rsidR="00E44AB8" w:rsidRDefault="00E44AB8" w:rsidP="00E44AB8">
      <w:pPr>
        <w:pStyle w:val="af9"/>
        <w:ind w:firstLine="283"/>
        <w:rPr>
          <w:spacing w:val="2"/>
        </w:rPr>
      </w:pPr>
      <w:proofErr w:type="gramStart"/>
      <w:r w:rsidRPr="00E44AB8">
        <w:rPr>
          <w:spacing w:val="2"/>
        </w:rPr>
        <w:t>После оживленного обсуждения участники стратегической сессии решили, что программа обучения должна состоять как минимум из трех так называемых сессий: первая — установочная, с деловыми играми и тренингами; вторая — специальная, где будут рассматриваться сравнительно узкие темы, с которыми муниципалам предстоит работать ежедневно; третья же сессия должна включать различные дискуссионные площадки по наиболее проблемным вопросам местного значения.</w:t>
      </w:r>
      <w:r>
        <w:rPr>
          <w:spacing w:val="2"/>
        </w:rPr>
        <w:t xml:space="preserve"> </w:t>
      </w:r>
      <w:proofErr w:type="gramEnd"/>
    </w:p>
    <w:p w:rsidR="00E44AB8" w:rsidRPr="00E44AB8" w:rsidRDefault="00E44AB8" w:rsidP="00E44AB8">
      <w:pPr>
        <w:pStyle w:val="af9"/>
        <w:ind w:firstLine="283"/>
        <w:rPr>
          <w:spacing w:val="2"/>
        </w:rPr>
      </w:pPr>
      <w:r w:rsidRPr="00E44AB8">
        <w:rPr>
          <w:spacing w:val="2"/>
        </w:rPr>
        <w:t xml:space="preserve">Стоит сказать, что две из них Департаментом государственной гражданской службы уже организованы. Первая состоялась в 23-24 ноября в Центре делового сотрудничества и отдыха «Томь», вторая — 18-19 декабря на площадке Совета муниципальных образований. Как и предполагалось, погружение наших студентов в муниципальную науку проходило поэтапно. </w:t>
      </w:r>
    </w:p>
    <w:p w:rsid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lastRenderedPageBreak/>
        <w:t xml:space="preserve">Сначала был рассмотрен общий организационно-правовой блок, вопросы финансовых и имущественных отношений, порядок работы с обращениями граждан и механизмы формирования позитивного имиджа власти. За время декабрьской сессии было пройдено 11 специальных тем, включая вопросы осуществления закупок, ремонта дорог, обращения с отходами и так далее. </w:t>
      </w: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E44AB8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ЧЕМ МОЖНО ПОМОЧЬ ТОС</w:t>
      </w:r>
      <w:r w:rsidRPr="00E44AB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АМ?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Вт</w:t>
      </w: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орая стратегическая сессия, организованная Советом, касалась мер поддержки развития территориального общественного самоуправления. 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Напомним, что сегодня этот вопрос поставлен Президентом России в разряд приоритетных для всех уровней власти, а мероприятие по разработке соответствующих предложений </w:t>
      </w:r>
      <w:r w:rsidRPr="00E44AB8">
        <w:rPr>
          <w:rFonts w:ascii="PT Serif Caption" w:eastAsiaTheme="minorHAnsi" w:hAnsi="PT Serif Caption" w:cs="PT Serif Caption"/>
          <w:color w:val="3C3C3B"/>
          <w:spacing w:val="4"/>
          <w:sz w:val="20"/>
          <w:szCs w:val="20"/>
          <w:lang w:eastAsia="en-US"/>
        </w:rPr>
        <w:t>предусмотрено</w:t>
      </w: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 Планом совместных действий исполнительных органов государственной власти и органов местного самоуправления муниципальных образований Томской области на 2017 год.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В этой связи Совет муниципальных образований провел анализ практики регионов, на его основе подготовил ряд предложений, которые и были детально проработаны в формате мозгового штурма с участием представителей муниципалитетов, действующих ТОС, областных Департамента финансов и Департамента муниципального развития, Комитета внутренней политики Администрации Томской области.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Наиболее бурно, конечно, обсуждался вопрос о предоставлении субсидий из областного бюджета на поддержку территориального общественного </w:t>
      </w:r>
      <w:proofErr w:type="spellStart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самоуправленя</w:t>
      </w:r>
      <w:proofErr w:type="spellEnd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. Как ни странно, было подытожено, что эта мера пока преждевременна. Основной упор, по мнению практиков, сегодня нужно сделать на увеличение количества самих </w:t>
      </w:r>
      <w:proofErr w:type="spellStart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ТОСов</w:t>
      </w:r>
      <w:proofErr w:type="spellEnd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.  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Очаги активности в городах и селах есть всегда, но зачастую они держатся исключительно на настроениях и инициативах отдельных граждан. Чтобы эти очаги «разгорелись» их просто-напросто нужно поддержать морально и где-то организационно.</w:t>
      </w: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Здесь стоит сказать, что активисты </w:t>
      </w:r>
      <w:proofErr w:type="gramStart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томских</w:t>
      </w:r>
      <w:proofErr w:type="gramEnd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 </w:t>
      </w:r>
      <w:proofErr w:type="spellStart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ТОСов</w:t>
      </w:r>
      <w:proofErr w:type="spellEnd"/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 xml:space="preserve"> готовы выезжать в районы, делиться своим опытом и наработками. По их словам, они устали «вариться в собственном соку» и хотелось бы увидеть единомышленников за пределами областного центра. А Совет муниципальных образований готов организовывать такие выезды вновь и вновь, главное, чтобы дело сдвинулось с мертвой точки.</w:t>
      </w: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  <w:r w:rsidRPr="00E44AB8"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  <w:t>Поэтому в план работы 2018 года решено включить выездные конференции и мастер-классы по созданию и деятельности ТОС. Любой муниципалитет, при желании, может стать первым и «сидя на месте» получить массу полезной и интересной информации. Приглашайте, мы к вам приедем.</w:t>
      </w:r>
    </w:p>
    <w:p w:rsid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</w:p>
    <w:p w:rsidR="00E44AB8" w:rsidRDefault="00E44AB8" w:rsidP="00E44A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</w:p>
    <w:p w:rsidR="00E44AB8" w:rsidRPr="00E44AB8" w:rsidRDefault="00E44AB8" w:rsidP="00E44AB8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4"/>
          <w:szCs w:val="24"/>
          <w:lang w:eastAsia="en-US"/>
        </w:rPr>
      </w:pPr>
    </w:p>
    <w:p w:rsidR="00E44AB8" w:rsidRPr="00813939" w:rsidRDefault="00E44AB8" w:rsidP="00813939">
      <w:pPr>
        <w:suppressAutoHyphens/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</w:p>
    <w:p w:rsidR="00813939" w:rsidRPr="001B36A1" w:rsidRDefault="00813939" w:rsidP="0081393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</w:p>
    <w:p w:rsidR="001B36A1" w:rsidRPr="001B36A1" w:rsidRDefault="001B36A1" w:rsidP="001B36A1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cs="PT Serif Caption Regular"/>
          <w:color w:val="3C3C3B"/>
          <w:vertAlign w:val="subscript"/>
        </w:rPr>
      </w:pPr>
    </w:p>
    <w:sectPr w:rsidR="001B36A1" w:rsidRPr="001B36A1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74" w:rsidRDefault="00385374" w:rsidP="002868CF">
      <w:r>
        <w:separator/>
      </w:r>
    </w:p>
  </w:endnote>
  <w:endnote w:type="continuationSeparator" w:id="0">
    <w:p w:rsidR="00385374" w:rsidRDefault="00385374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74" w:rsidRDefault="00385374" w:rsidP="002868CF">
      <w:r>
        <w:separator/>
      </w:r>
    </w:p>
  </w:footnote>
  <w:footnote w:type="continuationSeparator" w:id="0">
    <w:p w:rsidR="00385374" w:rsidRDefault="00385374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5B5FB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35F66"/>
    <w:rsid w:val="001635F8"/>
    <w:rsid w:val="00174C70"/>
    <w:rsid w:val="00185AE8"/>
    <w:rsid w:val="00190177"/>
    <w:rsid w:val="0019433B"/>
    <w:rsid w:val="001B36A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32C62"/>
    <w:rsid w:val="00354B27"/>
    <w:rsid w:val="00373556"/>
    <w:rsid w:val="00380064"/>
    <w:rsid w:val="00383DD9"/>
    <w:rsid w:val="00385374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B5FB7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6E436C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3939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72AED"/>
    <w:rsid w:val="00C82F8E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4AB8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1B36A1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2018-01-22T03:15:00Z</dcterms:created>
  <dcterms:modified xsi:type="dcterms:W3CDTF">2018-01-22T03:15:00Z</dcterms:modified>
</cp:coreProperties>
</file>