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BF" w:rsidRPr="00D53E93" w:rsidRDefault="00D53E93" w:rsidP="00D53E9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72"/>
          <w:szCs w:val="72"/>
          <w:lang w:eastAsia="en-US"/>
        </w:rPr>
      </w:pPr>
      <w:r w:rsidRPr="00D53E93">
        <w:rPr>
          <w:rFonts w:ascii="Roboto Bold" w:eastAsiaTheme="minorHAnsi" w:hAnsi="Roboto Bold" w:cs="Roboto Bold"/>
          <w:b/>
          <w:bCs/>
          <w:color w:val="3C3C3B"/>
          <w:sz w:val="72"/>
          <w:szCs w:val="72"/>
          <w:lang w:eastAsia="en-US"/>
        </w:rPr>
        <w:t>В ЦЕНТРЕ ВНИМАНИЯ</w:t>
      </w:r>
    </w:p>
    <w:p w:rsidR="00890B52" w:rsidRPr="00890B52" w:rsidRDefault="00890B52" w:rsidP="00890B52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pacing w:val="-3"/>
          <w:sz w:val="28"/>
          <w:szCs w:val="28"/>
          <w:lang w:eastAsia="en-US"/>
        </w:rPr>
      </w:pPr>
      <w:r w:rsidRPr="00890B52">
        <w:rPr>
          <w:rFonts w:ascii="Roboto Bold" w:eastAsiaTheme="minorHAnsi" w:hAnsi="Roboto Bold" w:cs="Roboto Bold"/>
          <w:b/>
          <w:bCs/>
          <w:color w:val="3C3C3B"/>
          <w:spacing w:val="-3"/>
          <w:sz w:val="28"/>
          <w:szCs w:val="28"/>
          <w:lang w:eastAsia="en-US"/>
        </w:rPr>
        <w:t>Ключевой темой очередного заседания Президиума Совета стало исполнение Плана совместных действий органов государственной власти и органов местного самоуправления Томской области на 2019 год</w:t>
      </w:r>
      <w:r>
        <w:rPr>
          <w:rFonts w:eastAsiaTheme="minorHAnsi" w:cs="Roboto Bold"/>
          <w:b/>
          <w:bCs/>
          <w:color w:val="3C3C3B"/>
          <w:spacing w:val="-3"/>
          <w:sz w:val="28"/>
          <w:szCs w:val="28"/>
          <w:lang w:eastAsia="en-US"/>
        </w:rPr>
        <w:t>.</w:t>
      </w:r>
    </w:p>
    <w:p w:rsidR="00D53E93" w:rsidRDefault="00D53E93" w:rsidP="00D53E93">
      <w:pPr>
        <w:ind w:left="4956"/>
      </w:pPr>
    </w:p>
    <w:p w:rsidR="00890B52" w:rsidRPr="00890B52" w:rsidRDefault="00890B52" w:rsidP="00890B5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890B52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инициативное бюджетирование</w:t>
      </w:r>
    </w:p>
    <w:p w:rsidR="00890B52" w:rsidRDefault="00890B52" w:rsidP="00890B52">
      <w:pPr>
        <w:pStyle w:val="afc"/>
        <w:rPr>
          <w:spacing w:val="-2"/>
        </w:rPr>
      </w:pPr>
      <w:r>
        <w:t xml:space="preserve">С </w:t>
      </w:r>
      <w:r>
        <w:rPr>
          <w:spacing w:val="-2"/>
        </w:rPr>
        <w:t xml:space="preserve">докладом о реализации проекта инициативного </w:t>
      </w:r>
      <w:proofErr w:type="spellStart"/>
      <w:r>
        <w:rPr>
          <w:spacing w:val="-2"/>
        </w:rPr>
        <w:t>бюджетирования</w:t>
      </w:r>
      <w:proofErr w:type="spellEnd"/>
      <w:r>
        <w:rPr>
          <w:spacing w:val="-2"/>
        </w:rPr>
        <w:t xml:space="preserve"> в ходе заседания выступила заместитель председателя бюджетного комитета — начальник отдела бюджетной политики Департамента финансов Томской области Дедова Анастасия Михайловна.</w:t>
      </w:r>
    </w:p>
    <w:p w:rsidR="00890B52" w:rsidRDefault="00890B52" w:rsidP="00D53E93">
      <w:pPr>
        <w:ind w:left="4956"/>
      </w:pP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Напомним, что намерение продолжить реализацию данного проекта закреплено пунктом 8 Плана совместных действий 2019 года.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Стартовав в прошлом году, он сразу же получил всеобщий интерес: уже на первый конкурсный отбор от муниципальных образований было подано 59 заявок, из которых победителями стали 36 проектов на общую сумму 33,4 </w:t>
      </w:r>
      <w:proofErr w:type="spellStart"/>
      <w:proofErr w:type="gramStart"/>
      <w:r>
        <w:rPr>
          <w:spacing w:val="-2"/>
        </w:rPr>
        <w:t>млн</w:t>
      </w:r>
      <w:proofErr w:type="spellEnd"/>
      <w:proofErr w:type="gramEnd"/>
      <w:r>
        <w:rPr>
          <w:spacing w:val="-2"/>
        </w:rPr>
        <w:t xml:space="preserve"> рублей.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В 2019 году, по словам спикера, показатели кратно возросли: в отборе участвовало 88 заявок от 55 поселений 14-ти муниципальных районов и от трех городских округов.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Как и в прошлом году, наибольшее число заявок подано на создание детских площадок и обустройство мест массового отдыха. Число заявок на спортивные объекты несколько снизилось – с 14 в 2018 году до 10 в 2019 году. Достаточно много проектов направлено на установление либо ремонт памятников участникам Великой Отечественной войны, что особо радует в преддверии 75-й годовщины Победы. В особую категорию выделен ремонт ограждения кладбищ: если в прошлом году на них было две заявки, то в этом их шесть. Также появилось больше проектов по ремонту объектов ЖКХ. </w:t>
      </w:r>
    </w:p>
    <w:p w:rsidR="00890B52" w:rsidRPr="00890B52" w:rsidRDefault="00890B52" w:rsidP="00890B52">
      <w:pPr>
        <w:pStyle w:val="af3"/>
        <w:ind w:left="4248"/>
        <w:rPr>
          <w:rFonts w:ascii="PT Serif Caption Regular" w:hAnsi="PT Serif Caption Regular" w:cs="PT Serif Caption Regular"/>
          <w:color w:val="3C3C3B"/>
          <w:spacing w:val="-2"/>
          <w:sz w:val="20"/>
          <w:szCs w:val="20"/>
          <w:lang w:val="ru-RU"/>
        </w:rPr>
      </w:pPr>
    </w:p>
    <w:p w:rsidR="00890B52" w:rsidRDefault="00890B52" w:rsidP="00890B52">
      <w:pPr>
        <w:pStyle w:val="aff0"/>
        <w:ind w:left="4248"/>
        <w:jc w:val="left"/>
      </w:pPr>
      <w:r>
        <w:rPr>
          <w:caps/>
        </w:rPr>
        <w:t>внимание!</w:t>
      </w:r>
    </w:p>
    <w:p w:rsidR="00890B52" w:rsidRDefault="00890B52" w:rsidP="00890B52">
      <w:pPr>
        <w:pStyle w:val="aff0"/>
        <w:spacing w:before="113"/>
        <w:ind w:left="4248"/>
        <w:jc w:val="left"/>
      </w:pPr>
      <w:r>
        <w:t xml:space="preserve">Проекты по ремонту объектов ЖКХ в целях исключения работ по капитальному ремонту дополнительно направляются на анализ в Департамент ЖКХ и государственного жилищного надзора Томской области, поскольку по проекту инициативного </w:t>
      </w:r>
      <w:proofErr w:type="spellStart"/>
      <w:r>
        <w:t>бюджетирования</w:t>
      </w:r>
      <w:proofErr w:type="spellEnd"/>
      <w:r>
        <w:t xml:space="preserve"> возможен только текущий ремонт.</w:t>
      </w:r>
    </w:p>
    <w:p w:rsidR="00890B52" w:rsidRPr="00890B52" w:rsidRDefault="00890B52" w:rsidP="00890B52">
      <w:pPr>
        <w:pStyle w:val="af3"/>
        <w:rPr>
          <w:rFonts w:ascii="PT Serif Caption Regular" w:hAnsi="PT Serif Caption Regular" w:cs="PT Serif Caption Regular"/>
          <w:color w:val="3C3C3B"/>
          <w:spacing w:val="-2"/>
          <w:sz w:val="20"/>
          <w:szCs w:val="20"/>
          <w:lang w:val="ru-RU"/>
        </w:rPr>
      </w:pP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>Примечательно, что несколько нынешних заявок предполагают продолжение благоустройства тех объектов, начальные этапы по которым были завершены в рамках первого конкурса. Например, в селе Володино ограждение детской площадки, созданной в прошлом году, площадь «Солнечный город» в Белом Яру, благоустройство центральной площади в селе Пудино.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Стоит отметить, что в областном бюджете 19-го года на реализацию проекта инициативного </w:t>
      </w:r>
      <w:proofErr w:type="spellStart"/>
      <w:r>
        <w:rPr>
          <w:spacing w:val="-2"/>
        </w:rPr>
        <w:t>бюджетирования</w:t>
      </w:r>
      <w:proofErr w:type="spellEnd"/>
      <w:r>
        <w:rPr>
          <w:spacing w:val="-2"/>
        </w:rPr>
        <w:t xml:space="preserve"> изначально было заложено 25 </w:t>
      </w:r>
      <w:proofErr w:type="spellStart"/>
      <w:proofErr w:type="gramStart"/>
      <w:r>
        <w:rPr>
          <w:spacing w:val="-2"/>
        </w:rPr>
        <w:t>млн</w:t>
      </w:r>
      <w:proofErr w:type="spellEnd"/>
      <w:proofErr w:type="gramEnd"/>
      <w:r>
        <w:rPr>
          <w:spacing w:val="-2"/>
        </w:rPr>
        <w:t xml:space="preserve"> рублей. Но, исходя из показателей активности, конкурсная комиссия ходатайствовала об увеличении этих бюджетных расходов так, чтобы хотя бы одна заявка от каждого района и городского округа, участвовавших в отборе, получила право на субсидию. Предложение поддержал Губернатор региона и в итоге Законодательной Думой Томской области был увеличен объем субсидии до 40,2 </w:t>
      </w:r>
      <w:proofErr w:type="spellStart"/>
      <w:proofErr w:type="gramStart"/>
      <w:r>
        <w:rPr>
          <w:spacing w:val="-2"/>
        </w:rPr>
        <w:t>млн</w:t>
      </w:r>
      <w:proofErr w:type="spellEnd"/>
      <w:proofErr w:type="gramEnd"/>
      <w:r>
        <w:rPr>
          <w:spacing w:val="-2"/>
        </w:rPr>
        <w:t xml:space="preserve"> рублей.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— В мае текущего года были заключены соглашения на реализацию 72 проектов на общую сумму свыше 53,7 </w:t>
      </w:r>
      <w:proofErr w:type="spellStart"/>
      <w:proofErr w:type="gramStart"/>
      <w:r>
        <w:rPr>
          <w:spacing w:val="-2"/>
        </w:rPr>
        <w:t>млн</w:t>
      </w:r>
      <w:proofErr w:type="spellEnd"/>
      <w:proofErr w:type="gramEnd"/>
      <w:r>
        <w:rPr>
          <w:spacing w:val="-2"/>
        </w:rPr>
        <w:t xml:space="preserve"> рублей, — резюмировала Анастасия Михайловна. — Объем субсидии из областного бюджета составит более 40 </w:t>
      </w:r>
      <w:proofErr w:type="spellStart"/>
      <w:proofErr w:type="gramStart"/>
      <w:r>
        <w:rPr>
          <w:spacing w:val="-2"/>
        </w:rPr>
        <w:t>млн</w:t>
      </w:r>
      <w:proofErr w:type="spellEnd"/>
      <w:proofErr w:type="gramEnd"/>
      <w:r>
        <w:rPr>
          <w:spacing w:val="-2"/>
        </w:rPr>
        <w:t xml:space="preserve"> рублей, местные бюджеты вложат 7,6 </w:t>
      </w:r>
      <w:proofErr w:type="spellStart"/>
      <w:r>
        <w:rPr>
          <w:spacing w:val="-2"/>
        </w:rPr>
        <w:t>млн</w:t>
      </w:r>
      <w:proofErr w:type="spellEnd"/>
      <w:r>
        <w:rPr>
          <w:spacing w:val="-2"/>
        </w:rPr>
        <w:t xml:space="preserve"> рублей, население — свыше 3,8 </w:t>
      </w:r>
      <w:proofErr w:type="spellStart"/>
      <w:r>
        <w:rPr>
          <w:spacing w:val="-2"/>
        </w:rPr>
        <w:t>млн</w:t>
      </w:r>
      <w:proofErr w:type="spellEnd"/>
      <w:r>
        <w:rPr>
          <w:spacing w:val="-2"/>
        </w:rPr>
        <w:t xml:space="preserve"> рублей, юридические лица — 2,3 </w:t>
      </w:r>
      <w:proofErr w:type="spellStart"/>
      <w:r>
        <w:rPr>
          <w:spacing w:val="-2"/>
        </w:rPr>
        <w:t>млн</w:t>
      </w:r>
      <w:proofErr w:type="spellEnd"/>
      <w:r>
        <w:rPr>
          <w:spacing w:val="-2"/>
        </w:rPr>
        <w:t xml:space="preserve"> рублей.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Анализируя результаты проекта инициативного </w:t>
      </w:r>
      <w:proofErr w:type="spellStart"/>
      <w:r>
        <w:rPr>
          <w:spacing w:val="-2"/>
        </w:rPr>
        <w:t>бюджетирования</w:t>
      </w:r>
      <w:proofErr w:type="spellEnd"/>
      <w:r>
        <w:rPr>
          <w:spacing w:val="-2"/>
        </w:rPr>
        <w:t xml:space="preserve">, организаторы отмечают, что в этом году стоимость заявленных проектов в среднем несколько ниже, чем в прошлом. Если в 2018-м они были по 3,5 и 2 </w:t>
      </w:r>
      <w:proofErr w:type="spellStart"/>
      <w:proofErr w:type="gramStart"/>
      <w:r>
        <w:rPr>
          <w:spacing w:val="-2"/>
        </w:rPr>
        <w:t>млн</w:t>
      </w:r>
      <w:proofErr w:type="spellEnd"/>
      <w:proofErr w:type="gramEnd"/>
      <w:r>
        <w:rPr>
          <w:spacing w:val="-2"/>
        </w:rPr>
        <w:t xml:space="preserve"> рублей, то в этом году самый дорогой проект — обустройство парка отдыха в поселке Улу-Юл Первомайского района общей стоимостью чуть более 1,5 </w:t>
      </w:r>
      <w:proofErr w:type="spellStart"/>
      <w:r>
        <w:rPr>
          <w:spacing w:val="-2"/>
        </w:rPr>
        <w:t>млн</w:t>
      </w:r>
      <w:proofErr w:type="spellEnd"/>
      <w:r>
        <w:rPr>
          <w:spacing w:val="-2"/>
        </w:rPr>
        <w:t xml:space="preserve"> рублей. </w:t>
      </w:r>
    </w:p>
    <w:p w:rsidR="00890B52" w:rsidRDefault="00890B52" w:rsidP="00890B52">
      <w:pPr>
        <w:pStyle w:val="af9"/>
      </w:pPr>
      <w:r>
        <w:rPr>
          <w:spacing w:val="-2"/>
        </w:rPr>
        <w:lastRenderedPageBreak/>
        <w:t>В целом число проектов от одного миллиона и выше — всего 20 из 72, хотя в прошлом году их б</w:t>
      </w:r>
      <w:r>
        <w:t xml:space="preserve">ыло 17 из 36. Самый недорогой проект на 54 тыс. рублей предполагает ремонт остановочного павильона в селе </w:t>
      </w:r>
      <w:proofErr w:type="spellStart"/>
      <w:r>
        <w:t>Киреевск</w:t>
      </w:r>
      <w:proofErr w:type="spellEnd"/>
      <w:r>
        <w:t xml:space="preserve"> </w:t>
      </w:r>
      <w:proofErr w:type="spellStart"/>
      <w:r>
        <w:t>Кожевниковского</w:t>
      </w:r>
      <w:proofErr w:type="spellEnd"/>
      <w:r>
        <w:t xml:space="preserve"> района.</w:t>
      </w:r>
    </w:p>
    <w:p w:rsidR="00890B52" w:rsidRDefault="00890B52" w:rsidP="00890B52">
      <w:pPr>
        <w:pStyle w:val="af9"/>
      </w:pPr>
      <w:r>
        <w:t xml:space="preserve">При этом, если рассматривать в сопоставимых с прошлым годом условиях, то </w:t>
      </w:r>
      <w:proofErr w:type="spellStart"/>
      <w:r>
        <w:t>софинансирование</w:t>
      </w:r>
      <w:proofErr w:type="spellEnd"/>
      <w:r>
        <w:t xml:space="preserve"> со стороны населения увеличилось почти на 29%, со стороны юридических лиц и индивидуальных предпринимателей – более чем в 4,5 раза – с 0,4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до 1,9 </w:t>
      </w:r>
      <w:proofErr w:type="spellStart"/>
      <w:r>
        <w:t>млн</w:t>
      </w:r>
      <w:proofErr w:type="spellEnd"/>
      <w:r>
        <w:t xml:space="preserve"> рублей. </w:t>
      </w:r>
    </w:p>
    <w:p w:rsidR="00890B52" w:rsidRDefault="00890B52" w:rsidP="00890B52">
      <w:pPr>
        <w:pStyle w:val="af9"/>
      </w:pPr>
      <w:r>
        <w:t>Возросла и готовность населения и юридических лиц участвовать в реализации проектов в нефинансовой форме. Если в прошлом году нефинансовые формы участия со стороны населения предусматривались по 94% проектов-победителей, а юридических лиц по 83%, то в этом году население выразило готовность участвовать личным трудом либо предоставлением материалов и техники по всем проектам-победителям, юридические лица – в 95%.</w:t>
      </w:r>
    </w:p>
    <w:p w:rsidR="00890B52" w:rsidRDefault="00890B52" w:rsidP="00890B52">
      <w:pPr>
        <w:pStyle w:val="af9"/>
      </w:pPr>
      <w:r>
        <w:t xml:space="preserve">Анастасия Михайловна напомнила, что все проекты свыше 300 тыс. рублей проходят проверку достоверности определения сметной стоимости и в этой связи остановилась на некоторых проблемных моментах. </w:t>
      </w:r>
    </w:p>
    <w:p w:rsidR="00890B52" w:rsidRDefault="00890B52" w:rsidP="00890B52">
      <w:pPr>
        <w:pStyle w:val="af9"/>
      </w:pPr>
      <w:r>
        <w:t xml:space="preserve">— Были случаи, когда при проведении проверки достоверности, текущий ремонт (по смете) волшебным образом превращался </w:t>
      </w:r>
      <w:proofErr w:type="gramStart"/>
      <w:r>
        <w:t>в</w:t>
      </w:r>
      <w:proofErr w:type="gramEnd"/>
      <w:r>
        <w:t xml:space="preserve"> капитальный. Это недопустимо, так как по условиям конкурса капитальный ремонт не предусмотрен. Это будет расценено как нецелевое использование средств со всеми вытекающими последствиями. Поэтому призываю на будущее крайне внимательно подходить к данному вопросу.</w:t>
      </w:r>
    </w:p>
    <w:p w:rsidR="00890B52" w:rsidRDefault="00890B52" w:rsidP="00890B52">
      <w:pPr>
        <w:pStyle w:val="aff0"/>
        <w:ind w:left="3540"/>
        <w:jc w:val="left"/>
      </w:pPr>
      <w:r>
        <w:rPr>
          <w:caps/>
        </w:rPr>
        <w:t>САМЫЕ-САМЫЕ!</w:t>
      </w:r>
    </w:p>
    <w:p w:rsidR="00890B52" w:rsidRDefault="00890B52" w:rsidP="00890B52">
      <w:pPr>
        <w:pStyle w:val="aff0"/>
        <w:spacing w:before="113"/>
        <w:ind w:left="3540"/>
        <w:jc w:val="left"/>
      </w:pPr>
      <w:r>
        <w:t xml:space="preserve">Лидером по числу как поданных, так и победивших заявок является </w:t>
      </w:r>
      <w:proofErr w:type="spellStart"/>
      <w:r>
        <w:t>Кожевниковский</w:t>
      </w:r>
      <w:proofErr w:type="spellEnd"/>
      <w:r>
        <w:t xml:space="preserve"> район — 11 проектов. Наибольший объем средств из областного бюджета привлекает </w:t>
      </w:r>
      <w:proofErr w:type="spellStart"/>
      <w:r>
        <w:t>Бакчарский</w:t>
      </w:r>
      <w:proofErr w:type="spellEnd"/>
      <w:r>
        <w:t xml:space="preserve"> район — на 6 проектов свыше 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общий объем финансирования всех проектов – 6,3 </w:t>
      </w:r>
      <w:proofErr w:type="spellStart"/>
      <w:r>
        <w:t>млн</w:t>
      </w:r>
      <w:proofErr w:type="spellEnd"/>
      <w:r>
        <w:t xml:space="preserve"> рублей. У Первомайского района самый высокий объем финансирования проектов за счет всех источников — на 7 проектов 7,1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субсидия из областного бюджета – 4,9 </w:t>
      </w:r>
      <w:proofErr w:type="spellStart"/>
      <w:r>
        <w:t>млн</w:t>
      </w:r>
      <w:proofErr w:type="spellEnd"/>
      <w:r>
        <w:t xml:space="preserve"> рублей. У этого района также самый большой объем </w:t>
      </w:r>
      <w:proofErr w:type="spellStart"/>
      <w:r>
        <w:t>софинансирования</w:t>
      </w:r>
      <w:proofErr w:type="spellEnd"/>
      <w:r>
        <w:t xml:space="preserve"> за счет средств юридических лиц — более 700 тыс. рублей. Наибольший объем </w:t>
      </w:r>
      <w:proofErr w:type="spellStart"/>
      <w:r>
        <w:t>софинансирования</w:t>
      </w:r>
      <w:proofErr w:type="spellEnd"/>
      <w:r>
        <w:t xml:space="preserve"> от населения (в абсолютной сумме) у Томского района – более 750 тыс. рублей.</w:t>
      </w:r>
    </w:p>
    <w:p w:rsidR="00890B52" w:rsidRDefault="00890B52" w:rsidP="00D53E93">
      <w:pPr>
        <w:ind w:left="4956"/>
      </w:pPr>
    </w:p>
    <w:p w:rsidR="00890B52" w:rsidRPr="00890B52" w:rsidRDefault="00890B52" w:rsidP="00890B5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</w:pPr>
      <w:r w:rsidRPr="00890B52"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  <w:t>ГОТОВИМСЯ К 2020</w:t>
      </w:r>
    </w:p>
    <w:p w:rsidR="00890B52" w:rsidRP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В соответствии с пунктом 9 Плана совместных действий, сроки начала и окончания конкурсного отбора проектов были сдвинуты для того, чтобы оставалось больше времени на непосредственную реализацию проектов. </w:t>
      </w:r>
    </w:p>
    <w:p w:rsidR="00890B52" w:rsidRP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Отбор начался 1 сентября и окончится 15 января 2020 года. До 15 февраля будут подведены итоги, после чего до 15 марта будет предоставлено время на подтверждение </w:t>
      </w:r>
      <w:proofErr w:type="spellStart"/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софинансирования</w:t>
      </w:r>
      <w:proofErr w:type="spellEnd"/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в заявленных объемах. Распоряжение об итогах отбора будет утверждено до 1 апреля 2020 года. </w:t>
      </w:r>
    </w:p>
    <w:p w:rsidR="00890B52" w:rsidRP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В проекте областного бюджета на 2020 год общий объем субсидии предусмотрен в сумме 40 </w:t>
      </w:r>
      <w:proofErr w:type="spellStart"/>
      <w:proofErr w:type="gramStart"/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млн</w:t>
      </w:r>
      <w:proofErr w:type="spellEnd"/>
      <w:proofErr w:type="gramEnd"/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рублей, поэтому шансы попасть в число победителей достаточно высокие. </w:t>
      </w:r>
    </w:p>
    <w:p w:rsidR="00890B52" w:rsidRP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Принять участие в конкурсе могут все районы и те городские округа, в состав которых входят населенные пункты численностью до 35 тыс. человек. Условия те же, что и в прошлом году: от одного населенного пункта принимается по одной заявке. </w:t>
      </w:r>
    </w:p>
    <w:p w:rsidR="00890B52" w:rsidRP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Проект должен предусматривать создание, обустройство либо ремонт объекта инфраструктуры, находящегося в населенном пункте либо на прилегающих к нему землях общего пользования, за исключением капитального строительства, реконструкции и капитального ремонта объекта. </w:t>
      </w:r>
    </w:p>
    <w:p w:rsidR="00890B52" w:rsidRP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К объектам инфраструктуры относятся объекты культуры, спорта, детские площадки, места массового отдыха, дороги, объекты ЖКХ, места захоронения и ряд других. Однако</w:t>
      </w:r>
      <w:proofErr w:type="gramStart"/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,</w:t>
      </w:r>
      <w:proofErr w:type="gramEnd"/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проект не может быть направлен на ремонт образовательных учреждений, обустройство их территории.</w:t>
      </w:r>
    </w:p>
    <w:p w:rsid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  <w:r w:rsidRPr="00890B52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В целях более полного освоения средств с этого года предусмотрено право направлять сложившуюся сумму экономии в результате проведения закупочных процедур либо по итогам проверки достоверности сметной стоимости на приобретение, создание, установку дополнительного оборудования по согласованию с Департаментом финансов Томской области.</w:t>
      </w:r>
    </w:p>
    <w:p w:rsid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</w:p>
    <w:p w:rsidR="00890B52" w:rsidRDefault="00890B52" w:rsidP="00890B5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890B52" w:rsidRPr="00890B52" w:rsidRDefault="00890B52" w:rsidP="00890B5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890B52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оценка Д</w:t>
      </w:r>
      <w:r w:rsidRPr="00890B52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ЕЯТЕЛЬНОС</w:t>
      </w:r>
      <w:r w:rsidRPr="00890B52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 xml:space="preserve">Ти </w:t>
      </w:r>
      <w:r w:rsidRPr="00890B52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ОРГАНОВ МСУ</w:t>
      </w:r>
      <w:proofErr w:type="gramStart"/>
      <w:r w:rsidRPr="00890B52">
        <w:rPr>
          <w:rFonts w:ascii="Roboto Bold" w:eastAsiaTheme="minorHAnsi" w:hAnsi="Roboto Bold" w:cs="Roboto Bold"/>
          <w:b/>
          <w:bCs/>
          <w:color w:val="3C3C3B"/>
          <w:spacing w:val="-72"/>
          <w:sz w:val="36"/>
          <w:szCs w:val="36"/>
          <w:lang w:eastAsia="en-US"/>
        </w:rPr>
        <w:t xml:space="preserve"> </w:t>
      </w:r>
      <w:r w:rsidRPr="00890B52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:</w:t>
      </w:r>
      <w:proofErr w:type="gramEnd"/>
      <w:r w:rsidRPr="00890B52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Пунктом 2 Плана совместных действий Совету муниципальных образований Томской области и Департаменту муниципального развития Администрации Томской области было поручено рассмотреть вопрос о совершенствовании механизмов поощрения муниципальных образований по итогам </w:t>
      </w:r>
      <w:proofErr w:type="gramStart"/>
      <w:r>
        <w:rPr>
          <w:spacing w:val="-2"/>
        </w:rPr>
        <w:t>оценки эффективности деятельности органов местного самоуправления городских округов</w:t>
      </w:r>
      <w:proofErr w:type="gramEnd"/>
      <w:r>
        <w:rPr>
          <w:spacing w:val="-2"/>
        </w:rPr>
        <w:t xml:space="preserve"> и муниципальных районов.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>В этой связи данный вопрос был вынесен на обсуждение Президиума Совета.</w:t>
      </w:r>
    </w:p>
    <w:p w:rsidR="00890B52" w:rsidRDefault="00890B52" w:rsidP="00890B52">
      <w:pPr>
        <w:pStyle w:val="af9"/>
      </w:pPr>
      <w:r>
        <w:rPr>
          <w:spacing w:val="-2"/>
        </w:rPr>
        <w:t xml:space="preserve">Ранее за достижение наилучших значений показателей эффективности, в соответствии с постановлением Губернатора Томской области от 18.07.2013 №80, из областного фонда стимулирования муниципальных </w:t>
      </w:r>
      <w:r>
        <w:rPr>
          <w:spacing w:val="-2"/>
        </w:rPr>
        <w:lastRenderedPageBreak/>
        <w:t>образований городским округам и муниципальным районам предост</w:t>
      </w:r>
      <w:r>
        <w:t xml:space="preserve">авлялись специальные гранты в форме дотаций. </w:t>
      </w:r>
    </w:p>
    <w:p w:rsidR="00890B52" w:rsidRDefault="00890B52" w:rsidP="00890B52">
      <w:pPr>
        <w:pStyle w:val="af9"/>
      </w:pPr>
      <w:r>
        <w:t xml:space="preserve">Такая система мотивации, по мнению членов Президиума, была проста, понятна и предельно эффективна на практике. </w:t>
      </w:r>
    </w:p>
    <w:p w:rsidR="00890B52" w:rsidRDefault="00890B52" w:rsidP="00890B52">
      <w:pPr>
        <w:pStyle w:val="af9"/>
      </w:pPr>
      <w:r>
        <w:t>Ведь, как ни крути, но любая копейка для бюджета — не лишняя, а здоровая конкуренция за нее заставляет развиваться, быть изобретательным, искать новые технологии и методы управления. И на сегодняшний день весь вопрос лишь в том, возможно ли вернуться к той системе.</w:t>
      </w:r>
    </w:p>
    <w:p w:rsidR="00890B52" w:rsidRDefault="00890B52" w:rsidP="00890B52">
      <w:pPr>
        <w:pStyle w:val="af9"/>
      </w:pPr>
      <w:r>
        <w:t>Посовещавшись, Президиум Совета принял решение обраться к Губернатору Томской области с  просьбой рассмотреть возможность предусмотреть в областном бюджете средства на предоставление соответствующих грантов городским округам и муниципальным районам.</w:t>
      </w:r>
    </w:p>
    <w:p w:rsidR="00890B52" w:rsidRDefault="00890B52" w:rsidP="00890B52">
      <w:pPr>
        <w:pStyle w:val="af3"/>
        <w:rPr>
          <w:lang w:val="ru-RU"/>
        </w:rPr>
      </w:pPr>
    </w:p>
    <w:p w:rsidR="00890B52" w:rsidRPr="00890B52" w:rsidRDefault="00890B52" w:rsidP="00890B5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890B52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МУНИЦИПАЛЬНЫе СЛУЖАЩИе: кто будет лучшим?</w:t>
      </w:r>
    </w:p>
    <w:p w:rsidR="00890B52" w:rsidRDefault="00890B52" w:rsidP="00890B52">
      <w:pPr>
        <w:pStyle w:val="afc"/>
        <w:jc w:val="left"/>
        <w:rPr>
          <w:rFonts w:asciiTheme="minorHAnsi" w:hAnsiTheme="minorHAnsi"/>
        </w:rPr>
      </w:pPr>
      <w:r>
        <w:t>Президиум Совета рассмотрел предварительные итоги проведения первого конкурса «Лучший муниципальный служащий в Томской области»</w:t>
      </w:r>
    </w:p>
    <w:p w:rsidR="00890B52" w:rsidRPr="00890B52" w:rsidRDefault="00890B52" w:rsidP="00890B52">
      <w:pPr>
        <w:pStyle w:val="af3"/>
        <w:rPr>
          <w:lang w:val="ru-RU"/>
        </w:rPr>
      </w:pPr>
    </w:p>
    <w:p w:rsidR="00890B52" w:rsidRDefault="00890B52" w:rsidP="00890B52">
      <w:pPr>
        <w:pStyle w:val="af9"/>
        <w:rPr>
          <w:spacing w:val="-2"/>
        </w:rPr>
      </w:pPr>
      <w:r w:rsidRPr="00890B52">
        <w:rPr>
          <w:spacing w:val="-2"/>
        </w:rPr>
        <w:t>Согласно</w:t>
      </w:r>
      <w:r>
        <w:rPr>
          <w:spacing w:val="-2"/>
        </w:rPr>
        <w:t xml:space="preserve"> информации областного Департамента государственной гражданской службы по состоянию на 23 сентября для участия в конкурсе было заявлено 418 человек. Но всего лишь за неделю картина порядком изменилась, и в итоге с 1 октября 490 участников приступили к основным конкурсным этапам.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По положению таких этапов несколько. В сентябре, параллельно с регистрацией, участники проходили диагностику личностных качеств. В октябре на этапе тестирования конкурсанты продемонстрируют знания о регионе, законов о муниципальной службе и ответят на вопросы по профилю своей деятельности. В ноябре на полуфинале они расскажут о своем вкладе в отрасль.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>Финал же конкурса состоится в декабре и пройдет в формате деловой игры.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Если вернуться к составу участников, то достаточно активный интерес к конкурсу, в основном, выразили городские округа и муниципальные районы – 74% от общего числа участников.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По абсолютному числу участников в первой группе максимальное представительство у </w:t>
      </w:r>
      <w:proofErr w:type="spellStart"/>
      <w:r>
        <w:rPr>
          <w:spacing w:val="-2"/>
        </w:rPr>
        <w:t>Северска</w:t>
      </w:r>
      <w:proofErr w:type="spellEnd"/>
      <w:r>
        <w:rPr>
          <w:spacing w:val="-2"/>
        </w:rPr>
        <w:t xml:space="preserve"> (108 служащих) и Томского района (88 служащих), во второй группе – у </w:t>
      </w:r>
      <w:proofErr w:type="spellStart"/>
      <w:r>
        <w:rPr>
          <w:spacing w:val="-2"/>
        </w:rPr>
        <w:t>Колпашевского</w:t>
      </w:r>
      <w:proofErr w:type="spellEnd"/>
      <w:r>
        <w:rPr>
          <w:spacing w:val="-2"/>
        </w:rPr>
        <w:t xml:space="preserve"> поселения (12 служащих) и в третьей – у сельских поселений Томского и </w:t>
      </w:r>
      <w:proofErr w:type="spellStart"/>
      <w:r>
        <w:rPr>
          <w:spacing w:val="-2"/>
        </w:rPr>
        <w:t>Кожевниковского</w:t>
      </w:r>
      <w:proofErr w:type="spellEnd"/>
      <w:r>
        <w:rPr>
          <w:spacing w:val="-2"/>
        </w:rPr>
        <w:t xml:space="preserve"> районов: соответственно 39 и 10 служащих. </w:t>
      </w:r>
    </w:p>
    <w:p w:rsidR="00890B52" w:rsidRPr="00890B52" w:rsidRDefault="00890B52" w:rsidP="00890B52">
      <w:pPr>
        <w:pStyle w:val="af9"/>
        <w:rPr>
          <w:spacing w:val="-2"/>
        </w:rPr>
      </w:pPr>
      <w:r w:rsidRPr="00890B52">
        <w:rPr>
          <w:spacing w:val="-2"/>
        </w:rPr>
        <w:t xml:space="preserve">Безусловно, территориальный признак никоим образом не повлияет на персональные результаты. </w:t>
      </w:r>
      <w:proofErr w:type="spellStart"/>
      <w:r>
        <w:rPr>
          <w:spacing w:val="-2"/>
        </w:rPr>
        <w:t>Поэтому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всем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участ</w:t>
      </w:r>
      <w:r w:rsidRPr="00890B52">
        <w:rPr>
          <w:spacing w:val="-2"/>
        </w:rPr>
        <w:t>никам</w:t>
      </w:r>
      <w:proofErr w:type="spellEnd"/>
      <w:r w:rsidRPr="00890B52">
        <w:rPr>
          <w:spacing w:val="-2"/>
        </w:rPr>
        <w:t xml:space="preserve"> – </w:t>
      </w:r>
      <w:proofErr w:type="spellStart"/>
      <w:r w:rsidRPr="00890B52">
        <w:rPr>
          <w:spacing w:val="-2"/>
        </w:rPr>
        <w:t>удачи</w:t>
      </w:r>
      <w:proofErr w:type="spellEnd"/>
      <w:r w:rsidRPr="00890B52">
        <w:rPr>
          <w:spacing w:val="-2"/>
        </w:rPr>
        <w:t xml:space="preserve"> и </w:t>
      </w:r>
      <w:proofErr w:type="spellStart"/>
      <w:r w:rsidRPr="00890B52">
        <w:rPr>
          <w:spacing w:val="-2"/>
        </w:rPr>
        <w:t>успеха</w:t>
      </w:r>
      <w:proofErr w:type="spellEnd"/>
      <w:r w:rsidRPr="00890B52">
        <w:rPr>
          <w:spacing w:val="-2"/>
        </w:rPr>
        <w:t>!</w:t>
      </w:r>
    </w:p>
    <w:p w:rsid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</w:p>
    <w:p w:rsid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</w:p>
    <w:p w:rsidR="00890B52" w:rsidRPr="00890B52" w:rsidRDefault="00890B52" w:rsidP="00890B5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890B52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ВЫДЕРЖАТЬ ИСПЫТАНИЕ ВРЕМЕНЕМ</w:t>
      </w:r>
    </w:p>
    <w:p w:rsidR="00890B52" w:rsidRDefault="00890B52" w:rsidP="00890B52">
      <w:pPr>
        <w:pStyle w:val="afc"/>
        <w:jc w:val="left"/>
      </w:pPr>
      <w:r>
        <w:rPr>
          <w:spacing w:val="-2"/>
        </w:rPr>
        <w:t>Н</w:t>
      </w:r>
      <w:r>
        <w:t>а фоне реализации Национальных проектов и глобальных инфраструктурных перемен, вопрос сохранения объектов культурного наследия приобрел особую актуальность.</w:t>
      </w:r>
    </w:p>
    <w:p w:rsidR="00890B52" w:rsidRDefault="00890B52" w:rsidP="00890B52">
      <w:pPr>
        <w:pStyle w:val="af9"/>
      </w:pPr>
    </w:p>
    <w:p w:rsidR="00890B52" w:rsidRDefault="00890B52" w:rsidP="00890B52">
      <w:pPr>
        <w:pStyle w:val="af9"/>
        <w:rPr>
          <w:spacing w:val="-2"/>
        </w:rPr>
      </w:pPr>
      <w:r>
        <w:t>Эт</w:t>
      </w:r>
      <w:r>
        <w:rPr>
          <w:spacing w:val="-2"/>
        </w:rPr>
        <w:t>у тему члены Президиума обсудили с председателем Комитета по охране объектов культурного наследия Томской области Еленой Владиславовной Перетягиной.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— Сегодня проводятся масштабные проекты в сфере культуры, здравоохранения, образования, — начала разговор Елена Владиславовна. — В районах области идет массовое строительство. Строятся детские сады, школы, культурные центры, газопроводы и другие линейные объекты. При организации этой работы многие муниципалитеты столкнулись с тем, что на предварительной стадии не были получены сведения об объектах культурного наследия. Поэтому приходится «на ходу» закладывать дополнительные средства и проводить археологические изыскания. Соответственно, все это приводит к удорожанию проекта и увеличивает сроки его реализации.    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 xml:space="preserve">По словам спикера, на сегодняшний день, законом об объектах культурного наследия предусмотрено проведение зонирования территорий — по признакам наличия или отсутствия объектов культурного наследия.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lastRenderedPageBreak/>
        <w:t xml:space="preserve">— У каждого муниципального образования есть планы развития на ближайшее три года, и органы местного самоуправления знают, что предстоит строить. Если бы археологи прошли заранее и сказали, целесообразно или нет планировать строительство на той или иной территории, то все было бы проще. У нас ведь есть ситуации, когда целые поселки размещаются на объектах археологического наследия.           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>Но поскольку на федеральном уровне такое зонирование пока не утверждено, то муниципальным образованиям рекомендуется соблюдать старый порядок, включающий два основных действия: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>1) перед отведением земельного участка, в том числе под реализацию мероприятий Национальных проектов, в Комитете по охране объектов культурного наследия Томской области необходимо запрашивать сведения о наличии (отсутствии) объектов культурного наследия на данном земельном участке;</w:t>
      </w:r>
    </w:p>
    <w:p w:rsidR="00890B52" w:rsidRDefault="00890B52" w:rsidP="00890B52">
      <w:pPr>
        <w:pStyle w:val="af9"/>
        <w:rPr>
          <w:spacing w:val="-2"/>
        </w:rPr>
      </w:pPr>
      <w:r>
        <w:rPr>
          <w:spacing w:val="-2"/>
        </w:rPr>
        <w:t>2) до начала хозяйственного освоения земельного (лесного) участка при необходимости обеспечить проведение государственной историко-культурной экспертизы участка на предмет установления наличия либо отсутствия объектов культурного (археологического) наследия, а также проведение необходимых мероприятий по обеспечению их сохранности.</w:t>
      </w:r>
    </w:p>
    <w:p w:rsidR="00890B52" w:rsidRDefault="00890B52" w:rsidP="00890B52">
      <w:pPr>
        <w:pStyle w:val="af9"/>
      </w:pPr>
      <w:r>
        <w:rPr>
          <w:spacing w:val="-2"/>
        </w:rPr>
        <w:t>Вышеперечисленные мероприятия Президиум Совета закрепил в своем решении. Кроме того, с целью упрощения процедур согласования и проведения работ, предложил Комитету по охране объектов культурного наследия провести работу по установлению на тер</w:t>
      </w:r>
      <w:r>
        <w:t xml:space="preserve">риториях муниципальных </w:t>
      </w:r>
      <w:proofErr w:type="gramStart"/>
      <w:r>
        <w:t>образований зон охраны объектов культурного наследия</w:t>
      </w:r>
      <w:proofErr w:type="gramEnd"/>
      <w:r>
        <w:t>.</w:t>
      </w:r>
    </w:p>
    <w:p w:rsidR="00890B52" w:rsidRPr="00890B52" w:rsidRDefault="00890B52" w:rsidP="00890B52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</w:p>
    <w:sectPr w:rsidR="00890B52" w:rsidRPr="00890B52" w:rsidSect="00890B52">
      <w:headerReference w:type="default" r:id="rId7"/>
      <w:pgSz w:w="11907" w:h="16839" w:code="9"/>
      <w:pgMar w:top="501" w:right="425" w:bottom="426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E4" w:rsidRDefault="00F25EE4" w:rsidP="002868CF">
      <w:r>
        <w:separator/>
      </w:r>
    </w:p>
  </w:endnote>
  <w:endnote w:type="continuationSeparator" w:id="0">
    <w:p w:rsidR="00F25EE4" w:rsidRDefault="00F25EE4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E4" w:rsidRDefault="00F25EE4" w:rsidP="002868CF">
      <w:r>
        <w:separator/>
      </w:r>
    </w:p>
  </w:footnote>
  <w:footnote w:type="continuationSeparator" w:id="0">
    <w:p w:rsidR="00F25EE4" w:rsidRDefault="00F25EE4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08" w:rsidRPr="00B05AC3" w:rsidRDefault="00946D0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890B52">
      <w:rPr>
        <w:rFonts w:ascii="Myriad Pro" w:hAnsi="Myriad Pro"/>
        <w:color w:val="auto"/>
        <w:sz w:val="20"/>
        <w:szCs w:val="20"/>
      </w:rPr>
      <w:t>ИЮЛЬ-СЕНТЯБРЬ</w:t>
    </w:r>
    <w:r>
      <w:rPr>
        <w:rFonts w:ascii="Myriad Pro" w:hAnsi="Myriad Pro"/>
        <w:color w:val="auto"/>
        <w:sz w:val="20"/>
        <w:szCs w:val="20"/>
      </w:rPr>
      <w:t xml:space="preserve">  2019</w:t>
    </w:r>
  </w:p>
  <w:p w:rsidR="00946D08" w:rsidRDefault="00642B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946D08" w:rsidRDefault="00946D0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46D08" w:rsidRPr="00B05AC3" w:rsidRDefault="00946D0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5FC7884"/>
    <w:multiLevelType w:val="hybridMultilevel"/>
    <w:tmpl w:val="579C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10EE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0EE7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42B0B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90B52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46D08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25EE4"/>
    <w:rsid w:val="00F306F1"/>
    <w:rsid w:val="00F34AE7"/>
    <w:rsid w:val="00F401A3"/>
    <w:rsid w:val="00F42144"/>
    <w:rsid w:val="00F60C83"/>
    <w:rsid w:val="00F656A0"/>
    <w:rsid w:val="00F7293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890B52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</cp:revision>
  <dcterms:created xsi:type="dcterms:W3CDTF">2018-01-22T02:08:00Z</dcterms:created>
  <dcterms:modified xsi:type="dcterms:W3CDTF">2019-10-21T04:13:00Z</dcterms:modified>
</cp:coreProperties>
</file>