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F" w:rsidRPr="00D53E93" w:rsidRDefault="00D53E93" w:rsidP="00D53E9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72"/>
          <w:szCs w:val="72"/>
          <w:lang w:eastAsia="en-US"/>
        </w:rPr>
      </w:pPr>
      <w:r w:rsidRPr="00D53E93">
        <w:rPr>
          <w:rFonts w:ascii="Roboto Bold" w:eastAsiaTheme="minorHAnsi" w:hAnsi="Roboto Bold" w:cs="Roboto Bold"/>
          <w:b/>
          <w:bCs/>
          <w:color w:val="3C3C3B"/>
          <w:sz w:val="72"/>
          <w:szCs w:val="72"/>
          <w:lang w:eastAsia="en-US"/>
        </w:rPr>
        <w:t>В ЦЕНТРЕ ВНИМАНИЯ</w:t>
      </w:r>
    </w:p>
    <w:p w:rsidR="008C79BF" w:rsidRPr="008C79BF" w:rsidRDefault="008C79BF" w:rsidP="008C79BF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8C79BF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Роль органов местного самоуправления в реализации на территории Томской области национальных проектов стала главным предметом обсуждения на 14-м Съезде Ассоциации «Совет муниципальных образований Томской области», который проходил 14-15 марта.</w:t>
      </w:r>
    </w:p>
    <w:p w:rsidR="008C79BF" w:rsidRDefault="008C79BF" w:rsidP="008C79BF"/>
    <w:p w:rsidR="008C79BF" w:rsidRDefault="008C79BF" w:rsidP="008C79BF">
      <w:pPr>
        <w:pStyle w:val="af9"/>
      </w:pPr>
      <w:r>
        <w:t xml:space="preserve">В первый день организаторы мероприятия предложили свободное обсуждение таких направлений, как «Экология», «Образование», «Поддержка предпринимательства», «Обеспечение доступности жилья и улучшение качества жилищных условий граждан». На базе </w:t>
      </w:r>
      <w:proofErr w:type="spellStart"/>
      <w:r>
        <w:t>коворкинг-центра</w:t>
      </w:r>
      <w:proofErr w:type="spellEnd"/>
      <w:r>
        <w:t xml:space="preserve"> «Точка кипения» развернулись четыре дискуссионные площадки, в которых в об</w:t>
      </w:r>
      <w:r>
        <w:rPr>
          <w:spacing w:val="-2"/>
        </w:rPr>
        <w:t>щей сложности приняли участие более 250 человек: представители муниципалитетов, органов государственной власти, бизнеса и общественности</w:t>
      </w:r>
      <w:r>
        <w:t>…</w:t>
      </w:r>
    </w:p>
    <w:p w:rsidR="008C79BF" w:rsidRDefault="008C79BF" w:rsidP="008C79BF">
      <w:pPr>
        <w:pStyle w:val="af9"/>
      </w:pPr>
      <w:r>
        <w:t>Во второй день в ходе пленарного заседания были заслушаны доклады о реализации национальных проектов: «Демография», «Культура», «Безопасные и качественные дороги», «Повышение эффективности рынка труда».  Кроме того, участники Съезда обсудили итоги дебютного проекта 2018 года «</w:t>
      </w:r>
      <w:proofErr w:type="gramStart"/>
      <w:r>
        <w:t>Инициативное</w:t>
      </w:r>
      <w:proofErr w:type="gramEnd"/>
      <w:r>
        <w:t xml:space="preserve"> </w:t>
      </w:r>
      <w:proofErr w:type="spellStart"/>
      <w:r>
        <w:t>бюджетирование</w:t>
      </w:r>
      <w:proofErr w:type="spellEnd"/>
      <w:r>
        <w:t xml:space="preserve"> в Томской области».</w:t>
      </w:r>
    </w:p>
    <w:p w:rsidR="008C79BF" w:rsidRPr="008C79BF" w:rsidRDefault="008C79BF" w:rsidP="008C79BF">
      <w:pPr>
        <w:pStyle w:val="af9"/>
      </w:pPr>
      <w:r w:rsidRPr="008C79BF">
        <w:t>В заключение мероприятий Съезда Губернатор Томской области и Председатель Совета муниципальных образований Томской области подписали План совместных действий органов государственной власти и органов местного самоуправления Томской области на 2019 год, который главным образом коснулся вопросов реализации национальных проектов.</w:t>
      </w:r>
    </w:p>
    <w:p w:rsidR="008C79BF" w:rsidRDefault="008C79BF" w:rsidP="008C79BF">
      <w:pPr>
        <w:rPr>
          <w:spacing w:val="2"/>
        </w:rPr>
      </w:pPr>
    </w:p>
    <w:p w:rsidR="008C79BF" w:rsidRPr="008C79BF" w:rsidRDefault="008C79BF" w:rsidP="008C79B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8C79BF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НАЦПРОЕКТ «ЭКОЛОГИЯ»</w:t>
      </w:r>
    </w:p>
    <w:p w:rsidR="008C79BF" w:rsidRDefault="008C79BF" w:rsidP="008C79BF">
      <w:pPr>
        <w:pStyle w:val="afc"/>
        <w:jc w:val="left"/>
      </w:pPr>
      <w:r>
        <w:t xml:space="preserve">— В России так называемыми мусорными проблемами не занимались, может быть, сто лет, то есть никогда, —  констатировал Президент страны Владимир Путин, обращаясь с посланием к Федеральному собранию. </w:t>
      </w:r>
    </w:p>
    <w:p w:rsidR="008C79BF" w:rsidRDefault="008C79BF" w:rsidP="008C79BF">
      <w:pPr>
        <w:pStyle w:val="af9"/>
        <w:rPr>
          <w:spacing w:val="-2"/>
        </w:rPr>
      </w:pPr>
    </w:p>
    <w:p w:rsidR="008C79BF" w:rsidRPr="008C79BF" w:rsidRDefault="008C79BF" w:rsidP="008C79BF">
      <w:pPr>
        <w:pStyle w:val="af9"/>
        <w:rPr>
          <w:spacing w:val="-2"/>
        </w:rPr>
      </w:pPr>
      <w:r w:rsidRPr="008C79BF">
        <w:rPr>
          <w:spacing w:val="-2"/>
        </w:rPr>
        <w:t>Возможно, поэтому самой масштабной по числу участников стала дискуссионная площадка Съезда Совета, посвященная реализации национального проекта «Экология». И, несмотря на то, что Томская область принимает участие в 5-ти федеральных проектах из 11-ти, входящих в этот нацпроект, основной разговор замкнулся именно на обсуждении ситуации, связанной с коммунальными отходами.</w:t>
      </w:r>
    </w:p>
    <w:p w:rsidR="008C79BF" w:rsidRPr="008C79BF" w:rsidRDefault="008C79BF" w:rsidP="008C79BF">
      <w:pPr>
        <w:pStyle w:val="af9"/>
        <w:rPr>
          <w:spacing w:val="-2"/>
        </w:rPr>
      </w:pPr>
      <w:r w:rsidRPr="008C79BF">
        <w:rPr>
          <w:spacing w:val="-2"/>
        </w:rPr>
        <w:t xml:space="preserve">Выступая с приветственным словом, заместитель Губернатора Томской области по агропромышленной политике и природопользованию Андрей Филиппович </w:t>
      </w:r>
      <w:proofErr w:type="spellStart"/>
      <w:r w:rsidRPr="008C79BF">
        <w:rPr>
          <w:spacing w:val="-2"/>
        </w:rPr>
        <w:t>Кнорр</w:t>
      </w:r>
      <w:proofErr w:type="spellEnd"/>
      <w:r w:rsidRPr="008C79BF">
        <w:rPr>
          <w:spacing w:val="-2"/>
        </w:rPr>
        <w:t xml:space="preserve"> отметил, что сегодня практически создается новая отрасль. И здесь дело не только в том, что нет достаточной материальной базы и не совсем отработана нормативно-правовая составляющая. По его словам, в стране просто-напросто не сложилась культура обращения с отходами.</w:t>
      </w:r>
    </w:p>
    <w:p w:rsidR="008C79BF" w:rsidRDefault="008C79BF" w:rsidP="008C79BF">
      <w:pPr>
        <w:pStyle w:val="af3"/>
        <w:rPr>
          <w:lang w:val="ru-RU"/>
        </w:rPr>
      </w:pPr>
    </w:p>
    <w:p w:rsidR="008C79BF" w:rsidRPr="008C79BF" w:rsidRDefault="008C79BF" w:rsidP="008C79BF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6"/>
          <w:szCs w:val="16"/>
          <w:lang w:eastAsia="en-US"/>
        </w:rPr>
      </w:pPr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В составе национального проекта «Экология» в настоящее время предусмотрено 11 федеральных проектов. Томская область будет принимать участие в пяти из них: «Чистая страна», «Комплексная система обращения с ТКО», «Сохранение уникальных водных объектов», «Сохранение лесов», «Чистая вода» (питьевая). Для Томской области общий бюджет на их реализацию составит порядка 7 </w:t>
      </w:r>
      <w:proofErr w:type="spellStart"/>
      <w:proofErr w:type="gram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млрд</w:t>
      </w:r>
      <w:proofErr w:type="spellEnd"/>
      <w:proofErr w:type="gram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рублей</w:t>
      </w:r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6"/>
          <w:szCs w:val="16"/>
          <w:lang w:eastAsia="en-US"/>
        </w:rPr>
        <w:t>.</w:t>
      </w:r>
    </w:p>
    <w:p w:rsidR="008C79BF" w:rsidRPr="008C79BF" w:rsidRDefault="008C79BF" w:rsidP="008C79BF">
      <w:pPr>
        <w:pStyle w:val="af3"/>
        <w:rPr>
          <w:lang w:val="ru-RU"/>
        </w:rPr>
      </w:pPr>
    </w:p>
    <w:p w:rsidR="008C79BF" w:rsidRDefault="008C79BF" w:rsidP="008C79BF">
      <w:pPr>
        <w:pStyle w:val="af9"/>
        <w:rPr>
          <w:spacing w:val="2"/>
        </w:rPr>
      </w:pPr>
      <w:r>
        <w:t xml:space="preserve">—   </w:t>
      </w:r>
      <w:r>
        <w:rPr>
          <w:spacing w:val="2"/>
        </w:rPr>
        <w:t>Мы не воспринимали себя как человека, который эти отходы образует. Это касается как физических, так юридических лиц. Мы воспринимали, что кто-то должен придти и бесплатно</w:t>
      </w:r>
      <w:r>
        <w:t xml:space="preserve"> з</w:t>
      </w:r>
      <w:r>
        <w:rPr>
          <w:spacing w:val="2"/>
        </w:rPr>
        <w:t xml:space="preserve">а нами убрать. Оттого материальная база формировалась по остаточному принципу, и поэтому больше всего этот вопрос вызывает негодование. Тарифы – конечно важно, и на первоначальном этапе есть определенная проблема. Но я хотел бы, чтобы мы не только на этом сосредотачивались. Главное касается образования: мы должны сформировать новое поколение, которое будет по-иному относиться к отходам, — подчеркнул Андрей Филиппович. </w:t>
      </w: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lastRenderedPageBreak/>
        <w:t xml:space="preserve">О планах на ближайшее время и в перспективе рассказал модератор площадки — начальник департамента природных ресурсов и охраны окружающей среды Томской области </w:t>
      </w:r>
      <w:proofErr w:type="spellStart"/>
      <w:r>
        <w:rPr>
          <w:spacing w:val="2"/>
        </w:rPr>
        <w:t>Мазур</w:t>
      </w:r>
      <w:proofErr w:type="spellEnd"/>
      <w:r>
        <w:rPr>
          <w:spacing w:val="2"/>
        </w:rPr>
        <w:t xml:space="preserve"> Роман Леонидович.</w:t>
      </w: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t xml:space="preserve">Так, в рамках проекта «Чистая страна», направленного на ликвидацию свалок, будет проведена рекультивация полигона рядом с селом Новомихайловка Томского района. От профильной организации, проводившей экспертную оценку томской заявки, уже получено положительное заключение  и рекомендация по внесению полигона в перечень объектов накопленного экологического ущерба. </w:t>
      </w: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t xml:space="preserve">В результате реализации проекта «Комплексная система обращения с ТКО» на территории региона должно появиться девять заводов по сортировке твердых коммунальных отходов, три мусоросжигательных комплекса и 15 новых полигонов, которые будут решать задачу по сокращению транспортных </w:t>
      </w:r>
      <w:proofErr w:type="spellStart"/>
      <w:r>
        <w:rPr>
          <w:spacing w:val="2"/>
        </w:rPr>
        <w:t>плечей</w:t>
      </w:r>
      <w:proofErr w:type="spellEnd"/>
      <w:r>
        <w:rPr>
          <w:spacing w:val="2"/>
        </w:rPr>
        <w:t xml:space="preserve"> операторов.</w:t>
      </w:r>
    </w:p>
    <w:p w:rsidR="008C79BF" w:rsidRDefault="008C79BF" w:rsidP="008C79BF">
      <w:pPr>
        <w:pStyle w:val="af9"/>
      </w:pPr>
      <w:r>
        <w:t>— Результат реформы, к которому мы стремимся — появление отдельной отрасли перерабатывающей промышленности, — подытожил Роман Леонидович. — Тогда мы достигнем главной цели — уменьшение захоронений отходов на полигонах. Но решать проблему обращения с ТКО необходимо всем вместе, с участием бюджетов всех уровней.</w:t>
      </w:r>
    </w:p>
    <w:p w:rsidR="008C79BF" w:rsidRDefault="008C79BF" w:rsidP="008C79BF">
      <w:pPr>
        <w:pStyle w:val="af9"/>
      </w:pPr>
      <w:r>
        <w:t xml:space="preserve">К слову, положение дел на местах участники встречи смогли оценить по выступлениям представителей Томска, </w:t>
      </w:r>
      <w:proofErr w:type="spellStart"/>
      <w:r>
        <w:t>Северска</w:t>
      </w:r>
      <w:proofErr w:type="spellEnd"/>
      <w:r>
        <w:t xml:space="preserve">, Томского и Зырянского районов, и оно на сегодняшний день неоднородно. Например, на территории Томского района уже установлена 531 контейнерная площадка и 1065 контейнеров. Тем не менее, потребность еще высока: эти цифры нужно увеличить до 1479 площадок и более двух тысяч контейнеров. </w:t>
      </w:r>
    </w:p>
    <w:p w:rsidR="008C79BF" w:rsidRDefault="008C79BF" w:rsidP="008C79BF">
      <w:pPr>
        <w:pStyle w:val="af9"/>
      </w:pPr>
      <w:r>
        <w:t xml:space="preserve">В </w:t>
      </w:r>
      <w:proofErr w:type="spellStart"/>
      <w:r>
        <w:t>Северске</w:t>
      </w:r>
      <w:proofErr w:type="spellEnd"/>
      <w:r>
        <w:t xml:space="preserve"> за январь-февраль региональный оператор вывез 4,2 тыс. тонн отходов, из них в январе на мусоросортировочном комплексе переработали 98 тонн, а в феврале 102 тонны. В прошлом же году объем вывоза отходов за аналогичный период составил 3,7 тыс. тонн отходов. И такой рост поступления отходов на полигоны, по словам экспертов,  — один из индикаторов того, что реформа все-таки заработала.</w:t>
      </w:r>
    </w:p>
    <w:p w:rsidR="008C79BF" w:rsidRDefault="008C79BF" w:rsidP="008C79BF">
      <w:pPr>
        <w:pStyle w:val="af3"/>
        <w:rPr>
          <w:lang w:val="ru-RU"/>
        </w:rPr>
      </w:pPr>
    </w:p>
    <w:p w:rsidR="008C79BF" w:rsidRPr="008C79BF" w:rsidRDefault="008C79BF" w:rsidP="008C79B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8C79BF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НАЦПРОЕКТ «</w:t>
      </w:r>
      <w:r w:rsidRPr="008C79BF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образование</w:t>
      </w:r>
      <w:r w:rsidRPr="008C79BF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»</w:t>
      </w:r>
    </w:p>
    <w:p w:rsidR="008C79BF" w:rsidRDefault="008C79BF" w:rsidP="008C79BF">
      <w:pPr>
        <w:pStyle w:val="afc"/>
        <w:jc w:val="left"/>
      </w:pPr>
      <w:r>
        <w:t xml:space="preserve">Из всех реализуемых в Томской области национальных проектов почти треть относятся к сфере науки и образования. Вполне естественно, что к площадке Съезда Совета «Образование»  был также проявлен повышенный интерес со стороны руководителей и специалистов, курирующих данную отрасль.  </w:t>
      </w:r>
    </w:p>
    <w:p w:rsidR="008C79BF" w:rsidRDefault="008C79BF" w:rsidP="008C79BF">
      <w:pPr>
        <w:pStyle w:val="af3"/>
        <w:rPr>
          <w:lang w:val="ru-RU"/>
        </w:rPr>
      </w:pPr>
    </w:p>
    <w:p w:rsidR="008C79BF" w:rsidRDefault="008C79BF" w:rsidP="008C79BF">
      <w:pPr>
        <w:pStyle w:val="af9"/>
      </w:pPr>
      <w:r>
        <w:t>Национальный проект  создан не для того, чтобы выполнить все задачи образования, —  в ходе разговора обратила внимание вице-губернатор Л.М. </w:t>
      </w:r>
      <w:proofErr w:type="spellStart"/>
      <w:r>
        <w:t>Огородова</w:t>
      </w:r>
      <w:proofErr w:type="spellEnd"/>
      <w:r>
        <w:t xml:space="preserve"> — Просто нужно понимать, что вся государственная программа развития данной сферы разделяется на две части: проектная, включающая конкретно направленные мероприятия, и непроектная, включающая ФГОС.</w:t>
      </w:r>
    </w:p>
    <w:p w:rsidR="008C79BF" w:rsidRDefault="008C79BF" w:rsidP="008C79BF">
      <w:pPr>
        <w:pStyle w:val="af9"/>
      </w:pPr>
      <w:proofErr w:type="gramStart"/>
      <w:r>
        <w:t>Если говорить непосредственно о нацпроекте, то он включает десять федеральных проектов, в том числе «Современная школа», «Успех каждого ребенка» и «Цифровая образовательная среда», на которых мы собственно и остановимся.</w:t>
      </w:r>
      <w:proofErr w:type="gramEnd"/>
    </w:p>
    <w:p w:rsidR="008C79BF" w:rsidRDefault="008C79BF" w:rsidP="008C79BF">
      <w:pPr>
        <w:pStyle w:val="af9"/>
      </w:pPr>
      <w:r>
        <w:t xml:space="preserve">В рамках первого в Томске и Томском районе в ближайшие три года появится четыре новые школы на 3310 мест. Кроме того, проектом предусмотрено </w:t>
      </w:r>
      <w:r>
        <w:rPr>
          <w:spacing w:val="2"/>
        </w:rPr>
        <w:t>об</w:t>
      </w:r>
      <w:r>
        <w:t xml:space="preserve">новление материально-технической базы сельских школ и школ малых городов. </w:t>
      </w:r>
    </w:p>
    <w:p w:rsidR="008C79BF" w:rsidRDefault="008C79BF" w:rsidP="008C79BF">
      <w:pPr>
        <w:pStyle w:val="af9"/>
      </w:pPr>
      <w:r>
        <w:t xml:space="preserve">Уже в 2019 году на базе общеобразовательных организаций в 17 муниципалитетах будут оборудованы 29 центров гуманитарного и цифрового профиля, а в 2020 и 2021 годах –15 и 16 центров соответственно. </w:t>
      </w:r>
    </w:p>
    <w:p w:rsidR="008C79BF" w:rsidRDefault="008C79BF" w:rsidP="008C79BF">
      <w:pPr>
        <w:pStyle w:val="af9"/>
      </w:pPr>
      <w:r>
        <w:t xml:space="preserve">Все они позволят на качественно новом уровне сформировать у школьников современные навыки по таким учебным предметам как «Технология» и «Информатика». Более того, они будут задействованы для внеурочной деятельности и реализации дополнительных общеобразовательных программ в условиях </w:t>
      </w:r>
      <w:proofErr w:type="spellStart"/>
      <w:r>
        <w:t>коворкинг-центра</w:t>
      </w:r>
      <w:proofErr w:type="spellEnd"/>
      <w:r>
        <w:t>.</w:t>
      </w:r>
    </w:p>
    <w:p w:rsidR="008C79BF" w:rsidRDefault="008C79BF" w:rsidP="008C79BF">
      <w:pPr>
        <w:pStyle w:val="af9"/>
      </w:pPr>
      <w:r>
        <w:t>Второй проект «Успех каждого ребенка» направлен на то, чтобы сформировать эффективную систему выявления, поддержки и развития способностей и талантов детей.  Поэтому предполагается модернизация инфраструктуры системы дополнительного образования. Например, к 2024 году будет запущено 3 мобильных детских технопарка «</w:t>
      </w:r>
      <w:proofErr w:type="spellStart"/>
      <w:r>
        <w:t>Кванториум</w:t>
      </w:r>
      <w:proofErr w:type="spellEnd"/>
      <w:r>
        <w:t xml:space="preserve">», в </w:t>
      </w:r>
      <w:proofErr w:type="spellStart"/>
      <w:r>
        <w:t>Северске</w:t>
      </w:r>
      <w:proofErr w:type="spellEnd"/>
      <w:r>
        <w:t xml:space="preserve"> же появится стационарный. </w:t>
      </w:r>
    </w:p>
    <w:p w:rsidR="008C79BF" w:rsidRDefault="008C79BF" w:rsidP="008C79BF">
      <w:pPr>
        <w:pStyle w:val="af9"/>
      </w:pPr>
      <w:r>
        <w:t xml:space="preserve">Особого внимания требует федеральный проект «Цифровая образовательная среда», поскольку по оценке специалистов именно он в наибольшей степени соответствует времени и именно он произведет переворот в консервативной системе обучения. </w:t>
      </w:r>
    </w:p>
    <w:p w:rsidR="008C79BF" w:rsidRDefault="008C79BF" w:rsidP="008C79BF">
      <w:pPr>
        <w:pStyle w:val="af9"/>
      </w:pPr>
      <w:r>
        <w:lastRenderedPageBreak/>
        <w:t>На уровне руководства страны отмечается, что формирование цифровой образовательной среды – это стратегическая государственная задача.</w:t>
      </w:r>
    </w:p>
    <w:p w:rsidR="008C79BF" w:rsidRDefault="008C79BF" w:rsidP="008C79BF">
      <w:pPr>
        <w:pStyle w:val="af9"/>
        <w:rPr>
          <w:spacing w:val="2"/>
        </w:rPr>
      </w:pPr>
      <w:r>
        <w:t xml:space="preserve">Глобальная автоматизация и цифровые технологии, как показывает статистика, стремительно отправляют в историю целые группы профессий и ремесел, и сегодня при так называемой цифровой экономике очевидна уже массовая потребность в специалистах с совершенно иным уровнем мышления, нежели пару десятилетий </w:t>
      </w:r>
      <w:r>
        <w:rPr>
          <w:spacing w:val="2"/>
        </w:rPr>
        <w:t xml:space="preserve">назад. </w:t>
      </w:r>
    </w:p>
    <w:p w:rsidR="003E3A5D" w:rsidRDefault="003E3A5D" w:rsidP="008C79BF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8C79BF" w:rsidRPr="008C79BF" w:rsidRDefault="008C79BF" w:rsidP="008C79BF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Благодаря внедрению новых технологий 75 </w:t>
      </w:r>
      <w:proofErr w:type="spellStart"/>
      <w:proofErr w:type="gram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млн</w:t>
      </w:r>
      <w:proofErr w:type="spellEnd"/>
      <w:proofErr w:type="gram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рабочих мест исчезнут в мире до 2022 года. Но в то же время технологии создадут 133 </w:t>
      </w:r>
      <w:proofErr w:type="spellStart"/>
      <w:proofErr w:type="gram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млн</w:t>
      </w:r>
      <w:proofErr w:type="spellEnd"/>
      <w:proofErr w:type="gram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новых рабочих мест. Таким образом, общее число рабочих мест увеличится на 58 млн. Об этом свидетельствует доклад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The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Future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of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Jobs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2018 («Будущее рабочих мест 2018»), подготовленный Всемирным экономическим форумом (WEF) и партнерами исследования — Евразийским институтом конкурентоспособности и консалтинговой компанией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Strategy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</w:t>
      </w:r>
      <w:proofErr w:type="spellStart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Partners</w:t>
      </w:r>
      <w:proofErr w:type="spellEnd"/>
      <w:r w:rsidRPr="008C79BF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.</w:t>
      </w:r>
    </w:p>
    <w:p w:rsidR="008C79BF" w:rsidRDefault="008C79BF" w:rsidP="008C79BF">
      <w:pPr>
        <w:pStyle w:val="af9"/>
        <w:rPr>
          <w:spacing w:val="2"/>
        </w:rPr>
      </w:pP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t>Вырастить таких специалистов, способных с легкостью управлять сложнейшим оборудованием, приборами и роботами, возможно при условии, если их обучение с помощью цифровых технологий начнется без малого «с пеленок» и будет продолжаться в течение всей жизни.</w:t>
      </w: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t xml:space="preserve">Реализация проекта «Цифровая образовательная среда» предусматривает ряд ключевых направлений, разработка которых идет параллельно. </w:t>
      </w:r>
    </w:p>
    <w:p w:rsidR="008C79BF" w:rsidRDefault="008C79BF" w:rsidP="008C79BF">
      <w:pPr>
        <w:pStyle w:val="af9"/>
        <w:rPr>
          <w:spacing w:val="2"/>
        </w:rPr>
      </w:pPr>
      <w:r>
        <w:rPr>
          <w:spacing w:val="2"/>
        </w:rPr>
        <w:t xml:space="preserve">Это и повышение квалификации педагогических работников в области современных технологий электронного обучения. Это и стопроцентное обеспечение образовательных организаций высокоскоростным Интернет-соединением. </w:t>
      </w:r>
    </w:p>
    <w:p w:rsidR="008C79BF" w:rsidRDefault="008C79BF" w:rsidP="008C79BF">
      <w:pPr>
        <w:pStyle w:val="af9"/>
        <w:rPr>
          <w:spacing w:val="2"/>
        </w:rPr>
      </w:pPr>
      <w:proofErr w:type="gramStart"/>
      <w:r>
        <w:rPr>
          <w:spacing w:val="2"/>
        </w:rPr>
        <w:t xml:space="preserve">Это и внедрение целевой модели цифровой образовательной среды, которая в 2019 году коснется всех городских округов, кроме Кедрового, а также шести муниципальных районов. </w:t>
      </w:r>
      <w:proofErr w:type="gramEnd"/>
    </w:p>
    <w:p w:rsidR="008C79BF" w:rsidRPr="00B82C32" w:rsidRDefault="008C79BF" w:rsidP="00B82C32">
      <w:pPr>
        <w:pStyle w:val="af9"/>
        <w:rPr>
          <w:spacing w:val="2"/>
        </w:rPr>
      </w:pPr>
      <w:r w:rsidRPr="008C79BF">
        <w:rPr>
          <w:spacing w:val="2"/>
        </w:rPr>
        <w:t>В качестве пилота целевая модель будет внедряться в</w:t>
      </w:r>
      <w:r>
        <w:rPr>
          <w:spacing w:val="2"/>
        </w:rPr>
        <w:t> </w:t>
      </w:r>
      <w:r w:rsidRPr="008C79BF">
        <w:rPr>
          <w:spacing w:val="2"/>
        </w:rPr>
        <w:t xml:space="preserve">12 школах и двух техникумах. </w:t>
      </w:r>
      <w:r w:rsidRPr="00B82C32">
        <w:rPr>
          <w:spacing w:val="2"/>
        </w:rPr>
        <w:t>В</w:t>
      </w:r>
      <w:r>
        <w:rPr>
          <w:spacing w:val="2"/>
        </w:rPr>
        <w:t> </w:t>
      </w:r>
      <w:r w:rsidRPr="00B82C32">
        <w:rPr>
          <w:spacing w:val="2"/>
        </w:rPr>
        <w:t>2020-2021 годах она будет распространена на территории всего региона.</w:t>
      </w:r>
    </w:p>
    <w:p w:rsidR="008C79BF" w:rsidRPr="008C79BF" w:rsidRDefault="008C79BF" w:rsidP="008C79BF">
      <w:pPr>
        <w:pStyle w:val="af3"/>
        <w:rPr>
          <w:lang w:val="ru-RU"/>
        </w:rPr>
      </w:pPr>
    </w:p>
    <w:p w:rsidR="00B82C32" w:rsidRDefault="00B82C32" w:rsidP="00B82C3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  <w:r w:rsidRPr="00B82C32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нацпроект «Малое и среднее предпринимательство и поддержка предпринимательской инициативы»</w:t>
      </w:r>
    </w:p>
    <w:p w:rsidR="00A33F50" w:rsidRDefault="00A33F50" w:rsidP="00B82C3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A33F50" w:rsidRDefault="00A33F50" w:rsidP="00A33F50">
      <w:pPr>
        <w:pStyle w:val="afc"/>
        <w:jc w:val="left"/>
        <w:rPr>
          <w:rFonts w:asciiTheme="minorHAnsi" w:hAnsiTheme="minorHAnsi"/>
        </w:rPr>
      </w:pPr>
      <w:r>
        <w:t xml:space="preserve">В Томской области в сфере малого и среднего бизнеса трудится почти четверть всех работающих, создается около 30% валового регионального продукта, что на 10% выше среднего по России. Эти цифры привела руководитель департамента экономики Администрации  Томской области Татьяна Анатольевна </w:t>
      </w:r>
      <w:proofErr w:type="spellStart"/>
      <w:r>
        <w:t>Чудинова</w:t>
      </w:r>
      <w:proofErr w:type="spellEnd"/>
      <w:r>
        <w:t xml:space="preserve">, отрывая очередную дискуссионную площадку 14-го Съезда Совета. </w:t>
      </w:r>
    </w:p>
    <w:p w:rsidR="00A33F50" w:rsidRDefault="00A33F50" w:rsidP="00A33F50">
      <w:pPr>
        <w:pStyle w:val="af9"/>
        <w:rPr>
          <w:spacing w:val="2"/>
        </w:rPr>
      </w:pPr>
    </w:p>
    <w:p w:rsidR="00A33F50" w:rsidRDefault="00A33F50" w:rsidP="00A33F50">
      <w:pPr>
        <w:pStyle w:val="af9"/>
        <w:rPr>
          <w:spacing w:val="2"/>
        </w:rPr>
      </w:pPr>
      <w:r>
        <w:rPr>
          <w:spacing w:val="2"/>
        </w:rPr>
        <w:t xml:space="preserve">По словам Татьяны Анатольевны, наш регион также занимает лидирующее положение в Сибирском федеральном округе по числу субъектов МСП на душу населения.  С показателем 41 субъект на 1000 человек он уступает только Новосибирской области. </w:t>
      </w:r>
    </w:p>
    <w:p w:rsidR="00A33F50" w:rsidRDefault="00A33F50" w:rsidP="00A33F50">
      <w:pPr>
        <w:pStyle w:val="af9"/>
        <w:rPr>
          <w:spacing w:val="2"/>
        </w:rPr>
      </w:pPr>
      <w:r>
        <w:rPr>
          <w:spacing w:val="2"/>
        </w:rPr>
        <w:t xml:space="preserve">Если быть точнее, то на начало марта текущего года было зарегистрировано 43,7 тысяч предпринимателей – это практически 60% от общего числа хозяйствующих субъектов. </w:t>
      </w:r>
    </w:p>
    <w:p w:rsidR="00A33F50" w:rsidRDefault="00A33F50" w:rsidP="00A33F50">
      <w:pPr>
        <w:pStyle w:val="af9"/>
        <w:rPr>
          <w:spacing w:val="2"/>
        </w:rPr>
      </w:pPr>
      <w:r>
        <w:rPr>
          <w:spacing w:val="2"/>
        </w:rPr>
        <w:t xml:space="preserve">Все эти результаты Томской области предстоит «расширить и углубить» путем участия в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A33F50" w:rsidRDefault="00A33F50" w:rsidP="00A33F50">
      <w:pPr>
        <w:pStyle w:val="af9"/>
        <w:rPr>
          <w:spacing w:val="2"/>
        </w:rPr>
      </w:pPr>
      <w:r>
        <w:rPr>
          <w:spacing w:val="2"/>
        </w:rPr>
        <w:t xml:space="preserve">Так, к 2024 году перед регионом стоит задача увеличить число предпринимателей на восемь тысяч, уровень занятости в данной сфере — до 36,1%, а долю в валовом региональном продукте — в два раза. </w:t>
      </w:r>
    </w:p>
    <w:p w:rsidR="003E3A5D" w:rsidRDefault="003E3A5D" w:rsidP="00A33F50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A33F50" w:rsidRPr="00A33F50" w:rsidRDefault="00A33F50" w:rsidP="00A33F50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Доля малого и среднего бизнеса в российской экономике составляет 21,9%. Соответствующие данные на своем сайте впервые опубликовал Росстат. </w:t>
      </w:r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lastRenderedPageBreak/>
        <w:t xml:space="preserve">Это оценка за 2017 год, итоги 2018 года еще не подведены. Доля малого и </w:t>
      </w:r>
      <w:proofErr w:type="spellStart"/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средего</w:t>
      </w:r>
      <w:proofErr w:type="spellEnd"/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бизнеса в ВВП развитых стран, по данным  Института экономики роста, составляет 50–60%. </w:t>
      </w:r>
    </w:p>
    <w:p w:rsidR="00A33F50" w:rsidRPr="00A33F50" w:rsidRDefault="00A33F50" w:rsidP="00A33F50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Так, в Великобритании это 51%, в Германии — 53%, в Финляндии — 60%, в Нидерландах — 63%.</w:t>
      </w:r>
    </w:p>
    <w:p w:rsidR="00A33F50" w:rsidRDefault="00A33F50" w:rsidP="00A33F50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33F50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Источник: </w:t>
      </w:r>
      <w:hyperlink r:id="rId7" w:history="1">
        <w:r w:rsidR="003E3A5D" w:rsidRPr="00C504AE">
          <w:rPr>
            <w:rStyle w:val="aff"/>
            <w:rFonts w:ascii="Helvetica Light Oblique" w:eastAsiaTheme="minorHAnsi" w:hAnsi="Helvetica Light Oblique" w:cs="Helvetica Light Oblique"/>
            <w:i/>
            <w:iCs/>
            <w:sz w:val="18"/>
            <w:szCs w:val="18"/>
            <w:lang w:eastAsia="en-US"/>
          </w:rPr>
          <w:t>https://www.rbc.ru</w:t>
        </w:r>
      </w:hyperlink>
    </w:p>
    <w:p w:rsidR="003E3A5D" w:rsidRPr="00A33F50" w:rsidRDefault="003E3A5D" w:rsidP="00A33F50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A33F50" w:rsidRDefault="00A33F50" w:rsidP="00A33F50">
      <w:pPr>
        <w:pStyle w:val="af9"/>
        <w:rPr>
          <w:spacing w:val="2"/>
        </w:rPr>
      </w:pPr>
      <w:r>
        <w:rPr>
          <w:spacing w:val="2"/>
        </w:rPr>
        <w:t>— Как будут участвовать муниципалитеты в его реализации, на сегодняшний день единой политики нет, — отметила  руководитель департамента экономики. — Регионы идут по двум разным направлениям. Одни полностью взяли модель федерации и, декомпозируя региональные показатели на все муниципалитеты, заключают с ними соответствующие соглашения.  Другие приняли выжидающую позицию и заключают соглашения по заявкам органов местного самоуправления на конкретные проекты. Мы этот вопрос как раз и обсудим — нам нужно определить общую позицию муниципалитетов и принять взвешенное решение.</w:t>
      </w:r>
    </w:p>
    <w:p w:rsidR="00A33F50" w:rsidRPr="005F3AA9" w:rsidRDefault="00A33F50" w:rsidP="00A33F50">
      <w:pPr>
        <w:pStyle w:val="af9"/>
        <w:rPr>
          <w:spacing w:val="2"/>
        </w:rPr>
      </w:pPr>
      <w:r>
        <w:rPr>
          <w:spacing w:val="2"/>
        </w:rPr>
        <w:t>Сам нацпроект разбит на пять федеральных: 1) популяризация предпринимательства, 2) улучшение условий ведения предпринимательской деятельности, 3) создание системы поддержки фермеров и развитие сельской кооперации, 4) акселерация субъектов МСП и 5) расширение доступа субъ</w:t>
      </w:r>
      <w:r w:rsidRPr="005F3AA9">
        <w:rPr>
          <w:spacing w:val="2"/>
        </w:rPr>
        <w:t xml:space="preserve">ектов МСП к финансовым ресурсам, в том числе к льготному финансированию. </w:t>
      </w:r>
    </w:p>
    <w:p w:rsidR="005F3AA9" w:rsidRPr="005F3AA9" w:rsidRDefault="00A33F50" w:rsidP="005F3AA9">
      <w:pPr>
        <w:pStyle w:val="af9"/>
        <w:rPr>
          <w:spacing w:val="2"/>
        </w:rPr>
      </w:pPr>
      <w:r w:rsidRPr="005F3AA9">
        <w:rPr>
          <w:spacing w:val="2"/>
        </w:rPr>
        <w:t>К слову, на двух последних будет сосредоточено почти 90% всего бюджета нацпроекта. Только в Томской области в течение шести лет на льготное</w:t>
      </w:r>
      <w:r w:rsidR="005F3AA9" w:rsidRPr="005F3AA9">
        <w:rPr>
          <w:spacing w:val="2"/>
        </w:rPr>
        <w:t xml:space="preserve"> кредитование малого и среднего бизнеса будет направлено 43 </w:t>
      </w:r>
      <w:proofErr w:type="spellStart"/>
      <w:proofErr w:type="gramStart"/>
      <w:r w:rsidR="005F3AA9" w:rsidRPr="005F3AA9">
        <w:rPr>
          <w:spacing w:val="2"/>
        </w:rPr>
        <w:t>млрд</w:t>
      </w:r>
      <w:proofErr w:type="spellEnd"/>
      <w:proofErr w:type="gramEnd"/>
      <w:r w:rsidR="005F3AA9" w:rsidRPr="005F3AA9">
        <w:rPr>
          <w:spacing w:val="2"/>
        </w:rPr>
        <w:t xml:space="preserve"> рублей, в 2019 году — уже порядка 7 </w:t>
      </w:r>
      <w:proofErr w:type="spellStart"/>
      <w:r w:rsidR="005F3AA9" w:rsidRPr="005F3AA9">
        <w:rPr>
          <w:spacing w:val="2"/>
        </w:rPr>
        <w:t>млрд</w:t>
      </w:r>
      <w:proofErr w:type="spellEnd"/>
      <w:r w:rsidR="005F3AA9" w:rsidRPr="005F3AA9">
        <w:rPr>
          <w:spacing w:val="2"/>
        </w:rPr>
        <w:t xml:space="preserve"> рублей.</w:t>
      </w:r>
    </w:p>
    <w:p w:rsidR="005F3AA9" w:rsidRPr="005F3AA9" w:rsidRDefault="005F3AA9" w:rsidP="005F3AA9">
      <w:pPr>
        <w:pStyle w:val="af9"/>
        <w:rPr>
          <w:spacing w:val="2"/>
        </w:rPr>
      </w:pPr>
      <w:r w:rsidRPr="005F3AA9">
        <w:rPr>
          <w:spacing w:val="2"/>
        </w:rPr>
        <w:t xml:space="preserve">Говоря о ближайших планах, спикеры отметили несколько основных направлений, в том числе: </w:t>
      </w:r>
    </w:p>
    <w:p w:rsidR="005F3AA9" w:rsidRDefault="005F3AA9" w:rsidP="002E270B">
      <w:pPr>
        <w:pStyle w:val="af9"/>
        <w:numPr>
          <w:ilvl w:val="0"/>
          <w:numId w:val="1"/>
        </w:numPr>
        <w:rPr>
          <w:spacing w:val="2"/>
        </w:rPr>
      </w:pPr>
      <w:r>
        <w:rPr>
          <w:spacing w:val="2"/>
        </w:rPr>
        <w:t xml:space="preserve">разработка специальных образовательных программ и организация обучения целевых групп, включая проведение семинаров по участию субъектов малого и среднего бизнеса в закупках крупнейших заказчиков; </w:t>
      </w:r>
    </w:p>
    <w:p w:rsidR="005F3AA9" w:rsidRDefault="005F3AA9" w:rsidP="002E270B">
      <w:pPr>
        <w:pStyle w:val="af9"/>
        <w:numPr>
          <w:ilvl w:val="0"/>
          <w:numId w:val="1"/>
        </w:numPr>
        <w:rPr>
          <w:spacing w:val="2"/>
        </w:rPr>
      </w:pPr>
      <w:r>
        <w:rPr>
          <w:spacing w:val="2"/>
        </w:rPr>
        <w:t xml:space="preserve">создание </w:t>
      </w:r>
      <w:proofErr w:type="spellStart"/>
      <w:r>
        <w:rPr>
          <w:spacing w:val="2"/>
        </w:rPr>
        <w:t>микрофинансовой</w:t>
      </w:r>
      <w:proofErr w:type="spellEnd"/>
      <w:r>
        <w:rPr>
          <w:spacing w:val="2"/>
        </w:rPr>
        <w:t xml:space="preserve"> организации Томской области, которая позволит предпринимателям не только крупных городов, но и других муниципальных образований получать небольшие займы на льготных условиях;</w:t>
      </w:r>
    </w:p>
    <w:p w:rsidR="005F3AA9" w:rsidRPr="005F3AA9" w:rsidRDefault="005F3AA9" w:rsidP="002E270B">
      <w:pPr>
        <w:pStyle w:val="af9"/>
        <w:numPr>
          <w:ilvl w:val="0"/>
          <w:numId w:val="1"/>
        </w:numPr>
        <w:rPr>
          <w:spacing w:val="2"/>
        </w:rPr>
      </w:pPr>
      <w:r w:rsidRPr="005F3AA9">
        <w:rPr>
          <w:spacing w:val="2"/>
        </w:rPr>
        <w:t>создание сбытовой платформы для субъектов малого и среднего предпринимательства;</w:t>
      </w:r>
    </w:p>
    <w:p w:rsidR="005F3AA9" w:rsidRPr="005F3AA9" w:rsidRDefault="005F3AA9" w:rsidP="002E270B">
      <w:pPr>
        <w:pStyle w:val="af9"/>
        <w:numPr>
          <w:ilvl w:val="0"/>
          <w:numId w:val="1"/>
        </w:numPr>
        <w:rPr>
          <w:spacing w:val="2"/>
        </w:rPr>
      </w:pPr>
      <w:r w:rsidRPr="005F3AA9">
        <w:rPr>
          <w:spacing w:val="2"/>
        </w:rPr>
        <w:t>создание единого регионального центра «Мой бизнес», где будут присутствовать все необходимые элементы экосистемы поддержки предпринимательства;</w:t>
      </w:r>
    </w:p>
    <w:p w:rsidR="005F3AA9" w:rsidRPr="005F3AA9" w:rsidRDefault="005F3AA9" w:rsidP="002E270B">
      <w:pPr>
        <w:pStyle w:val="af9"/>
        <w:numPr>
          <w:ilvl w:val="0"/>
          <w:numId w:val="1"/>
        </w:numPr>
        <w:rPr>
          <w:spacing w:val="2"/>
        </w:rPr>
      </w:pPr>
      <w:r w:rsidRPr="005F3AA9">
        <w:rPr>
          <w:spacing w:val="2"/>
        </w:rPr>
        <w:t>совершенствование законодательства в сфере МСП, путем законодательного закрепления понятий «социальное предпринимательство» и «</w:t>
      </w:r>
      <w:proofErr w:type="spellStart"/>
      <w:r w:rsidRPr="005F3AA9">
        <w:rPr>
          <w:spacing w:val="2"/>
        </w:rPr>
        <w:t>самозанятые</w:t>
      </w:r>
      <w:proofErr w:type="spellEnd"/>
      <w:r w:rsidRPr="005F3AA9">
        <w:rPr>
          <w:spacing w:val="2"/>
        </w:rPr>
        <w:t xml:space="preserve"> граждане».</w:t>
      </w:r>
    </w:p>
    <w:p w:rsidR="00A33F50" w:rsidRDefault="00A33F50" w:rsidP="00B82C3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2E270B" w:rsidRPr="002E270B" w:rsidRDefault="002E270B" w:rsidP="002E270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2E270B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НАЦПРОЕКТ «Жилье и городская среда»</w:t>
      </w:r>
    </w:p>
    <w:p w:rsidR="002E270B" w:rsidRDefault="002E270B" w:rsidP="002E270B">
      <w:pPr>
        <w:pStyle w:val="afc"/>
        <w:jc w:val="left"/>
      </w:pPr>
      <w:r>
        <w:t>Национальный проект «Жилье и городская среда» включает четыре составляющих, одна из которых «Ипотека» реализуется исключительно на федеральном уровне. Остальные три проекта, предполагающие ввод нового жилья, сокращение непригодного для проживания жилфонда и  формирование комфортной городской среды, обсуждались в рамках заключительной площадки Съезда.</w:t>
      </w:r>
    </w:p>
    <w:p w:rsidR="002E270B" w:rsidRDefault="002E270B" w:rsidP="00B82C3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2E270B" w:rsidRDefault="002E270B" w:rsidP="002E270B">
      <w:pPr>
        <w:pStyle w:val="af9"/>
      </w:pPr>
      <w:r>
        <w:t>— Ключевым показателем федерального проекта «Жилье» для Томской области станет ввод к 2025 году 723 тыс.кв. метров нового жилья, — начал разговор начальник Департамента архитектуры и строительства Томской области Дмитрий Юрьевич Ассонов. — Для сравнения рекордным по вводу жилья был 2015 год, когда мы сдали 699 тысяч кв. метров. Последние годы объем строительства был в пределах 500 тысяч кв. метров.</w:t>
      </w:r>
    </w:p>
    <w:p w:rsidR="002E270B" w:rsidRDefault="002E270B" w:rsidP="002E270B">
      <w:pPr>
        <w:pStyle w:val="af9"/>
      </w:pPr>
      <w:r>
        <w:t>Реализовать поставленную цель предполагается за счет модернизации строительной отрасли, снижения административной нагрузки на застройщиков, эффективного использования земли, поддержки нуждающихся в улучшении жилищных условий, а также развития среднего профессионального образования.</w:t>
      </w:r>
    </w:p>
    <w:p w:rsidR="002E270B" w:rsidRDefault="002E270B" w:rsidP="002E270B">
      <w:pPr>
        <w:pStyle w:val="af9"/>
        <w:rPr>
          <w:spacing w:val="2"/>
        </w:rPr>
      </w:pPr>
      <w:r>
        <w:rPr>
          <w:spacing w:val="-2"/>
        </w:rPr>
        <w:t>Что касается второго проекта, то за шесть лет в регионе должно быть расселено  125,5 тысяч квадратных метров непригодного для проживания жилищного фонда, где проживает 6980 человек. Причем под расселение под</w:t>
      </w:r>
      <w:r>
        <w:t>падают исключительно многоквартирные дома, признанные аварийными с 1 января 2</w:t>
      </w:r>
      <w:r>
        <w:rPr>
          <w:spacing w:val="2"/>
        </w:rPr>
        <w:t xml:space="preserve">012 года до 1 января 2017 года. </w:t>
      </w:r>
    </w:p>
    <w:p w:rsidR="002E270B" w:rsidRDefault="002E270B" w:rsidP="002E270B">
      <w:pPr>
        <w:pStyle w:val="af9"/>
        <w:rPr>
          <w:spacing w:val="2"/>
        </w:rPr>
      </w:pPr>
      <w:r>
        <w:rPr>
          <w:spacing w:val="2"/>
        </w:rPr>
        <w:lastRenderedPageBreak/>
        <w:t>Это один из проблемных моментов, поскольку в сельской местности преимущественно располагаются дома «блокированной застройки».</w:t>
      </w:r>
    </w:p>
    <w:p w:rsidR="002E270B" w:rsidRDefault="002E270B" w:rsidP="002E270B">
      <w:pPr>
        <w:pStyle w:val="af9"/>
        <w:rPr>
          <w:spacing w:val="2"/>
        </w:rPr>
      </w:pPr>
      <w:r>
        <w:rPr>
          <w:spacing w:val="2"/>
        </w:rPr>
        <w:t>Второй проблемный момент коснется города Томска, так как на его территории 53 многоквартирных дома имеют статус памятника архитектуры — это более 12 тысяч кв. метров и более 1000 жильцов. Данные объекты не идут под снос, а должны быть реконструированы, что соответственно накладывает дополнительные обязательства на муниципалитет.</w:t>
      </w:r>
    </w:p>
    <w:p w:rsidR="002E270B" w:rsidRDefault="002E270B" w:rsidP="002E270B">
      <w:pPr>
        <w:pStyle w:val="af9"/>
        <w:rPr>
          <w:spacing w:val="2"/>
        </w:rPr>
      </w:pPr>
      <w:r>
        <w:rPr>
          <w:spacing w:val="2"/>
        </w:rPr>
        <w:t xml:space="preserve">Формированием комфортной городской среды муниципалитеты Томской области занимаются третий год, и, несмотря на то, что этот проект стал одной из составляющих нацпроекта «Жилье и городская среда», основные принципы его реализации остались неизменны: общественное участие, системный подход, современные общественные пространства и личная ответственность на каждом уровне реализации. </w:t>
      </w:r>
    </w:p>
    <w:p w:rsidR="002E270B" w:rsidRDefault="002E270B" w:rsidP="002E270B">
      <w:pPr>
        <w:pStyle w:val="af9"/>
        <w:rPr>
          <w:spacing w:val="2"/>
        </w:rPr>
      </w:pPr>
      <w:r>
        <w:rPr>
          <w:spacing w:val="2"/>
        </w:rPr>
        <w:t xml:space="preserve">В 2019 году в муниципальных образованиях должны быть благоустроены 64 общественных территории. </w:t>
      </w:r>
    </w:p>
    <w:p w:rsidR="002E270B" w:rsidRPr="00B82C32" w:rsidRDefault="002E270B" w:rsidP="002E270B">
      <w:pPr>
        <w:pStyle w:val="af9"/>
        <w:rPr>
          <w:spacing w:val="2"/>
        </w:rPr>
      </w:pPr>
      <w:r>
        <w:rPr>
          <w:spacing w:val="2"/>
        </w:rPr>
        <w:t>На эти цели будет направлено 425,5 млн. рублей, из них 97% — это федеральная субсидия, 3% — областное финансирование. Дополнительно за счет местных бюджетов должно быть привлечено в реализацию проекта 2,13 млн. рублей.</w:t>
      </w:r>
    </w:p>
    <w:p w:rsidR="008C79BF" w:rsidRDefault="008C79BF" w:rsidP="008C79BF"/>
    <w:p w:rsidR="002E270B" w:rsidRPr="002E270B" w:rsidRDefault="002E270B" w:rsidP="002E270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2E270B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НАЦиональные ПРОЕКТы: продолжение</w:t>
      </w:r>
    </w:p>
    <w:p w:rsidR="002E270B" w:rsidRDefault="002E270B" w:rsidP="002E270B">
      <w:pPr>
        <w:pStyle w:val="afc"/>
        <w:jc w:val="left"/>
        <w:rPr>
          <w:rFonts w:asciiTheme="minorHAnsi" w:hAnsiTheme="minorHAnsi"/>
        </w:rPr>
      </w:pPr>
      <w:r>
        <w:t xml:space="preserve">В ходе пленарного заседания 14-го Съезда Совета муниципальных образований Томской области основной темой выступлений также стали вопросы реализации национальных проектов. </w:t>
      </w:r>
    </w:p>
    <w:p w:rsidR="002E270B" w:rsidRDefault="002E270B" w:rsidP="002E270B">
      <w:pPr>
        <w:pStyle w:val="af9"/>
        <w:rPr>
          <w:spacing w:val="2"/>
        </w:rPr>
      </w:pPr>
    </w:p>
    <w:p w:rsidR="002E270B" w:rsidRDefault="002E270B" w:rsidP="002E270B">
      <w:pPr>
        <w:pStyle w:val="af9"/>
        <w:rPr>
          <w:spacing w:val="2"/>
        </w:rPr>
      </w:pPr>
      <w:r>
        <w:rPr>
          <w:spacing w:val="2"/>
        </w:rPr>
        <w:t>Выступая с приветственным словом к делегатам Съезда Совета, Губернатор Томской области отметил, что национальные проекты — это абсолютно реальные планы, которые учитывают состояние экономики, технологический уровень промышленности, инвестиционный климат, демографическую ситуацию и много других показателей. И все эти показатели не оторваны от реальности.</w:t>
      </w:r>
    </w:p>
    <w:p w:rsidR="002E270B" w:rsidRDefault="002E270B" w:rsidP="002E270B">
      <w:pPr>
        <w:pStyle w:val="af9"/>
      </w:pPr>
      <w:r>
        <w:t xml:space="preserve">— Национальные проекты беспрецедентны по охвату и масштабам государственных инвестиций, — подчеркнул Сергей Анатольевич. — Только в этом году Томская область получит из федерального бюджета 5,4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на реализацию нацпроектов. Еще 1,7 </w:t>
      </w:r>
      <w:proofErr w:type="spellStart"/>
      <w:proofErr w:type="gramStart"/>
      <w:r>
        <w:t>млрд</w:t>
      </w:r>
      <w:proofErr w:type="spellEnd"/>
      <w:proofErr w:type="gramEnd"/>
      <w:r>
        <w:t xml:space="preserve"> мы добавим из областного бюджета. Доля </w:t>
      </w:r>
      <w:proofErr w:type="spellStart"/>
      <w:r>
        <w:t>софинансирования</w:t>
      </w:r>
      <w:proofErr w:type="spellEnd"/>
      <w:r>
        <w:t xml:space="preserve"> муниципальных образований составит 417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D53E93" w:rsidRDefault="00D53E93" w:rsidP="00D53E93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eastAsiaTheme="minorHAnsi" w:cs="PT Serif Caption Regular"/>
          <w:color w:val="3C3C3B"/>
          <w:sz w:val="28"/>
          <w:szCs w:val="28"/>
          <w:lang w:eastAsia="en-US"/>
        </w:rPr>
      </w:pPr>
    </w:p>
    <w:p w:rsidR="00D53E93" w:rsidRPr="00D53E93" w:rsidRDefault="00D53E93" w:rsidP="00D53E93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>—</w:t>
      </w:r>
      <w:r>
        <w:rPr>
          <w:rFonts w:eastAsiaTheme="minorHAnsi" w:cs="PT Serif Caption Regular"/>
          <w:color w:val="3C3C3B"/>
          <w:sz w:val="28"/>
          <w:szCs w:val="28"/>
          <w:lang w:eastAsia="en-US"/>
        </w:rPr>
        <w:t xml:space="preserve"> </w:t>
      </w:r>
      <w:r w:rsidRPr="00D53E93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>На власти всех уровней лежит огромная ответственность за успех общего дела. Это прозрачность в вопросах земельных отношений и проведении конкурсов.  Это жесткий контроль над работой подрядчиков. Это эффективное содержание новых социальных, спортивных и культурных объектов. И, конечно, это участие граждан в реализации национальных проектов на каждом этапе, — подытожил свое выступление Губернатор.</w:t>
      </w:r>
    </w:p>
    <w:p w:rsidR="00D53E93" w:rsidRPr="00D53E93" w:rsidRDefault="00D53E93" w:rsidP="00D53E93">
      <w:pPr>
        <w:pStyle w:val="af3"/>
        <w:rPr>
          <w:lang w:val="ru-RU"/>
        </w:rPr>
      </w:pPr>
    </w:p>
    <w:p w:rsidR="002E270B" w:rsidRPr="002E270B" w:rsidRDefault="002E270B" w:rsidP="002E270B">
      <w:pPr>
        <w:pStyle w:val="af3"/>
        <w:rPr>
          <w:lang w:val="ru-RU"/>
        </w:rPr>
      </w:pPr>
    </w:p>
    <w:p w:rsidR="00D53E93" w:rsidRDefault="00D53E93" w:rsidP="00D53E93">
      <w:pPr>
        <w:pStyle w:val="af9"/>
        <w:rPr>
          <w:spacing w:val="-2"/>
        </w:rPr>
      </w:pPr>
      <w:r>
        <w:rPr>
          <w:spacing w:val="-2"/>
        </w:rPr>
        <w:t xml:space="preserve">Спикер областной Думы Оксана Витальевна Козловская, придерживаясь общей канвы разговора, поддержала идею </w:t>
      </w:r>
      <w:proofErr w:type="gramStart"/>
      <w:r>
        <w:rPr>
          <w:spacing w:val="-2"/>
        </w:rPr>
        <w:t>подготовки тройственного Плана совместных действий органов государственной власти Томской области</w:t>
      </w:r>
      <w:proofErr w:type="gramEnd"/>
      <w:r>
        <w:rPr>
          <w:spacing w:val="-2"/>
        </w:rPr>
        <w:t xml:space="preserve"> и органов местного самоуправления на следующий год.</w:t>
      </w:r>
    </w:p>
    <w:p w:rsidR="00D53E93" w:rsidRDefault="00D53E93" w:rsidP="00D53E93">
      <w:pPr>
        <w:pStyle w:val="af9"/>
        <w:rPr>
          <w:spacing w:val="-2"/>
        </w:rPr>
      </w:pPr>
      <w:r>
        <w:rPr>
          <w:spacing w:val="-2"/>
        </w:rPr>
        <w:t>— Я уже не один год участвую в работе Съезда Совета и надо сказать, что он все больше выполняет функцию объединения, в смысле лучшего понимания и реализации поставленных задач, — сказала Оксана Витальевна. — Не может работа, и особенно по реализации национальных проектов, проводиться без объединения усилий обеих ветвей государственной власти и органов местного самоуправления.</w:t>
      </w:r>
    </w:p>
    <w:p w:rsidR="00D53E93" w:rsidRDefault="00D53E93" w:rsidP="00D53E93">
      <w:pPr>
        <w:pStyle w:val="af9"/>
        <w:rPr>
          <w:spacing w:val="-2"/>
        </w:rPr>
      </w:pPr>
      <w:r>
        <w:rPr>
          <w:spacing w:val="-2"/>
        </w:rPr>
        <w:t xml:space="preserve">В свою очередь Председатель Совета Григорий Андреевич </w:t>
      </w:r>
      <w:proofErr w:type="spellStart"/>
      <w:r>
        <w:rPr>
          <w:spacing w:val="-2"/>
        </w:rPr>
        <w:t>Шамин</w:t>
      </w:r>
      <w:proofErr w:type="spellEnd"/>
      <w:r>
        <w:rPr>
          <w:spacing w:val="-2"/>
        </w:rPr>
        <w:t xml:space="preserve"> в отчетном докладе о деятельности Совета отметил, что общий результат региона в значительной мере зависит от достижений каждого муниципалитета и поставленные задачи требуют не просто активизации работы в заданном нацпроектами направлении, но и совершенствования управленческих механизмов.</w:t>
      </w:r>
    </w:p>
    <w:p w:rsidR="00D53E93" w:rsidRDefault="00D53E93" w:rsidP="00D53E93">
      <w:pPr>
        <w:pStyle w:val="af9"/>
        <w:rPr>
          <w:spacing w:val="-2"/>
        </w:rPr>
      </w:pPr>
      <w:r>
        <w:rPr>
          <w:spacing w:val="-2"/>
        </w:rPr>
        <w:lastRenderedPageBreak/>
        <w:t>По его словам, в систему муниципального управления следует внедрять, например, элементы бережливого управления, которые позволят оценить процессы организации и нормирования труда в местных администрациях. Также необходимо обратить внимание на повышение статуса муниципальной службы, включая систему оплаты труда муниципальных служащих, которая уже давно перестала быть стимулом для привлечения квалифицированных кадров в муниципалитеты.</w:t>
      </w:r>
    </w:p>
    <w:p w:rsidR="00D53E93" w:rsidRDefault="00D53E93" w:rsidP="00D53E93">
      <w:pPr>
        <w:pStyle w:val="af9"/>
      </w:pPr>
      <w:r>
        <w:rPr>
          <w:spacing w:val="-2"/>
        </w:rPr>
        <w:t xml:space="preserve">— Во взаимодействии с органами </w:t>
      </w:r>
      <w:proofErr w:type="spellStart"/>
      <w:r>
        <w:rPr>
          <w:spacing w:val="-2"/>
        </w:rPr>
        <w:t>госвласти</w:t>
      </w:r>
      <w:proofErr w:type="spellEnd"/>
      <w:r>
        <w:rPr>
          <w:spacing w:val="-2"/>
        </w:rPr>
        <w:t xml:space="preserve">, необходимо регулярно проводить сравнительный анализ своей деятельности с деятельностью тех, кто получает лучший результат в той или иной сфере, и внедрять успешные практики, активнее распространять типовые решения,— сказал Григорий Андреевич. — Предлагаю каждому муниципалитету провести такой анализ сложившихся процессов управления. Совет </w:t>
      </w:r>
      <w:r>
        <w:t>готов этому максимально содействовать.</w:t>
      </w:r>
    </w:p>
    <w:p w:rsidR="002E270B" w:rsidRDefault="002E270B" w:rsidP="008C79BF"/>
    <w:p w:rsid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  <w:r w:rsidRPr="00D53E93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Из приветственной телеграммы </w:t>
      </w:r>
      <w:proofErr w:type="gramStart"/>
      <w:r w:rsidRPr="00D53E93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члена Совета Федерации Федерального Собрания Российской Федерации Кравченко Владимира</w:t>
      </w:r>
      <w:proofErr w:type="gramEnd"/>
      <w:r w:rsidRPr="00D53E93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D53E93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Казимировича</w:t>
      </w:r>
      <w:proofErr w:type="spellEnd"/>
      <w:r w:rsidRPr="00D53E93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 к делегатам Съезда</w:t>
      </w:r>
      <w:r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:</w:t>
      </w:r>
    </w:p>
    <w:p w:rsid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Сегодня в этом зале находятся те, по кому люди, зачастую, оценивают работу властей всех уровней. 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В Вашей повседневной деятельности мало обладать только лишь профессиональными навыками: подчас, гораздо важнее иметь доброе сердце, уметь помочь советом и делом тем, кто нуждается в этом.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Решение самых тяжелых вопросов, на которые, порой, нет ответов ни на </w:t>
      </w:r>
      <w:proofErr w:type="gramStart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федеральном</w:t>
      </w:r>
      <w:proofErr w:type="gramEnd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, ни на региональном уровнях, ложится именно на Ваши плечи. И вы с достоинством несете эту нелегкую ношу. Встречаясь с жителями нашей области, я очень часто слышу оценки о работе органов местного самоуправления: сельских, районных депутатов, глав поселений и руководителей районов.  Конечно же, граждане хотят жить лучше, но при этом практически всегда вспоминают теплым словом тех, кому они доверили представлять свои интересы. На мой взгляд, это и есть лучший индикатор работы для тех, кто сегодня присутствует на Съезде.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Впереди — новые задачи. Их практическое воплощение, выражаясь словами Петра Аркадьевича Столыпина, зависит от «приложения величайших усилий для поднятия экономического благосостояния населения». В каждом из нацпроектов, озвученных Президентом, есть составляющая, которая затрагивает интересы сельчан. Важнейшим достижением текущего периода, я считаю— </w:t>
      </w:r>
      <w:proofErr w:type="gramStart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эт</w:t>
      </w:r>
      <w:proofErr w:type="gramEnd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о старт разработки новой госпрограммы «Устойчивое развитие сельских территорий».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</w:p>
    <w:p w:rsidR="00D53E93" w:rsidRDefault="00D53E93" w:rsidP="00D53E93">
      <w:pPr>
        <w:ind w:left="4956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Задачи стоят </w:t>
      </w:r>
      <w:proofErr w:type="gramStart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амбициозные</w:t>
      </w:r>
      <w:proofErr w:type="gramEnd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, но мы обязательно справимся с ними. «В Москве» прекрасно знают об энергии и целеустремленности нашего Губернатора, который умеет биться за каждый рубль федеральных денег. Поэтому в том, что деньги на развитие будут— </w:t>
      </w:r>
      <w:proofErr w:type="gramStart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со</w:t>
      </w:r>
      <w:proofErr w:type="gramEnd"/>
      <w:r w:rsidRPr="00D53E93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мневаться не приходится.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D53E93" w:rsidRPr="00D53E93" w:rsidRDefault="00D53E93" w:rsidP="00D53E93">
      <w:pPr>
        <w:ind w:left="4956"/>
      </w:pPr>
    </w:p>
    <w:sectPr w:rsidR="00D53E93" w:rsidRPr="00D53E93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5C" w:rsidRDefault="00913A5C" w:rsidP="002868CF">
      <w:r>
        <w:separator/>
      </w:r>
    </w:p>
  </w:endnote>
  <w:endnote w:type="continuationSeparator" w:id="0">
    <w:p w:rsidR="00913A5C" w:rsidRDefault="00913A5C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5C" w:rsidRDefault="00913A5C" w:rsidP="002868CF">
      <w:r>
        <w:separator/>
      </w:r>
    </w:p>
  </w:footnote>
  <w:footnote w:type="continuationSeparator" w:id="0">
    <w:p w:rsidR="00913A5C" w:rsidRDefault="00913A5C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2019</w: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12</cp:revision>
  <dcterms:created xsi:type="dcterms:W3CDTF">2018-01-22T02:08:00Z</dcterms:created>
  <dcterms:modified xsi:type="dcterms:W3CDTF">2019-05-07T02:32:00Z</dcterms:modified>
</cp:coreProperties>
</file>