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2F" w:rsidRPr="00DB622F" w:rsidRDefault="00DB622F" w:rsidP="00DB622F">
      <w:pPr>
        <w:autoSpaceDE w:val="0"/>
        <w:autoSpaceDN w:val="0"/>
        <w:adjustRightInd w:val="0"/>
        <w:spacing w:after="0" w:line="680" w:lineRule="atLeast"/>
        <w:ind w:firstLine="0"/>
        <w:jc w:val="left"/>
        <w:textAlignment w:val="center"/>
        <w:rPr>
          <w:rFonts w:ascii="Roboto Black" w:eastAsiaTheme="minorHAnsi" w:hAnsi="Roboto Black" w:cs="Roboto Black"/>
          <w:caps/>
          <w:color w:val="3C3C3B"/>
          <w:sz w:val="72"/>
          <w:szCs w:val="72"/>
          <w:lang w:eastAsia="en-US"/>
        </w:rPr>
      </w:pPr>
      <w:r w:rsidRPr="00DB622F">
        <w:rPr>
          <w:rFonts w:ascii="Roboto Black" w:eastAsiaTheme="minorHAnsi" w:hAnsi="Roboto Black" w:cs="Roboto Black"/>
          <w:caps/>
          <w:color w:val="3C3C3B"/>
          <w:sz w:val="72"/>
          <w:szCs w:val="72"/>
          <w:lang w:eastAsia="en-US"/>
        </w:rPr>
        <w:t>подвели итоги</w:t>
      </w:r>
    </w:p>
    <w:p w:rsidR="00DB622F" w:rsidRDefault="00DB622F" w:rsidP="00DB622F">
      <w:pPr>
        <w:suppressAutoHyphens/>
        <w:autoSpaceDE w:val="0"/>
        <w:autoSpaceDN w:val="0"/>
        <w:adjustRightInd w:val="0"/>
        <w:spacing w:after="0" w:line="288" w:lineRule="auto"/>
        <w:ind w:firstLine="0"/>
        <w:jc w:val="left"/>
        <w:textAlignment w:val="center"/>
        <w:rPr>
          <w:rFonts w:eastAsiaTheme="minorHAnsi" w:cs="Roboto Bold"/>
          <w:b/>
          <w:bCs/>
          <w:color w:val="3C3C3B"/>
          <w:sz w:val="28"/>
          <w:szCs w:val="28"/>
          <w:lang w:eastAsia="en-US"/>
        </w:rPr>
      </w:pPr>
    </w:p>
    <w:p w:rsidR="00DB622F" w:rsidRDefault="00DB622F" w:rsidP="00DB622F">
      <w:pPr>
        <w:suppressAutoHyphens/>
        <w:autoSpaceDE w:val="0"/>
        <w:autoSpaceDN w:val="0"/>
        <w:adjustRightInd w:val="0"/>
        <w:spacing w:after="0" w:line="288" w:lineRule="auto"/>
        <w:ind w:firstLine="0"/>
        <w:jc w:val="left"/>
        <w:textAlignment w:val="center"/>
        <w:rPr>
          <w:rFonts w:eastAsiaTheme="minorHAnsi" w:cs="Roboto Bold"/>
          <w:b/>
          <w:bCs/>
          <w:color w:val="3C3C3B"/>
          <w:sz w:val="28"/>
          <w:szCs w:val="28"/>
          <w:lang w:eastAsia="en-US"/>
        </w:rPr>
      </w:pPr>
      <w:r w:rsidRPr="00DB622F">
        <w:rPr>
          <w:rFonts w:ascii="Roboto Bold" w:eastAsiaTheme="minorHAnsi" w:hAnsi="Roboto Bold" w:cs="Roboto Bold"/>
          <w:b/>
          <w:bCs/>
          <w:color w:val="3C3C3B"/>
          <w:sz w:val="28"/>
          <w:szCs w:val="28"/>
          <w:lang w:eastAsia="en-US"/>
        </w:rPr>
        <w:t xml:space="preserve">Президиум подвел итоги работы Совета муниципальных образований Томской области в 2019 году и наметил направления, по которым предстоит поработать в следующем 2020 году. </w:t>
      </w:r>
    </w:p>
    <w:p w:rsidR="00DB622F" w:rsidRPr="00DB622F" w:rsidRDefault="00DB622F" w:rsidP="00DB622F">
      <w:pPr>
        <w:suppressAutoHyphens/>
        <w:autoSpaceDE w:val="0"/>
        <w:autoSpaceDN w:val="0"/>
        <w:adjustRightInd w:val="0"/>
        <w:spacing w:after="0" w:line="288" w:lineRule="auto"/>
        <w:ind w:firstLine="0"/>
        <w:jc w:val="left"/>
        <w:textAlignment w:val="center"/>
        <w:rPr>
          <w:rFonts w:eastAsiaTheme="minorHAnsi" w:cs="Roboto Bold"/>
          <w:b/>
          <w:bCs/>
          <w:color w:val="3C3C3B"/>
          <w:sz w:val="28"/>
          <w:szCs w:val="28"/>
          <w:lang w:eastAsia="en-US"/>
        </w:rPr>
      </w:pPr>
    </w:p>
    <w:p w:rsidR="00DB622F" w:rsidRDefault="00DB622F" w:rsidP="00DB622F">
      <w:pPr>
        <w:pStyle w:val="af9"/>
        <w:ind w:firstLine="0"/>
      </w:pPr>
      <w:r>
        <w:t>Гл</w:t>
      </w:r>
      <w:r>
        <w:t xml:space="preserve">авы муниципалитетов обсудили актуальные сегодня тенденции территориальных преобразований в связи с появлением муниципального округа как нового типа муниципального образования. </w:t>
      </w:r>
    </w:p>
    <w:p w:rsidR="00DB622F" w:rsidRDefault="00DB622F" w:rsidP="00DB622F">
      <w:pPr>
        <w:pStyle w:val="af9"/>
        <w:ind w:firstLine="0"/>
      </w:pPr>
      <w:r>
        <w:t xml:space="preserve">Решено направить в Законодательную Думу Томской области две законодательные инициативы. </w:t>
      </w:r>
    </w:p>
    <w:p w:rsidR="00DB622F" w:rsidRDefault="00DB622F" w:rsidP="00DB622F">
      <w:pPr>
        <w:pStyle w:val="af9"/>
        <w:ind w:firstLine="0"/>
      </w:pPr>
      <w:r>
        <w:t>Кроме того, принято решение о награждениях Почетными Грамотами и Благодарностями Совета муниципальных образований Томской области. Заслуженные награды представителям муниципалитетов Томской области, внесшим значительный вклад в развитие местного самоуправления, будут вручены на очередном, юбилейном для Совета, 15-м Съезде Совета.</w:t>
      </w:r>
    </w:p>
    <w:p w:rsidR="00DB622F" w:rsidRDefault="00DB622F" w:rsidP="00DB622F">
      <w:pPr>
        <w:pStyle w:val="af3"/>
        <w:rPr>
          <w:lang w:val="ru-RU"/>
        </w:rPr>
      </w:pPr>
    </w:p>
    <w:p w:rsidR="00DB622F" w:rsidRPr="00DB622F" w:rsidRDefault="00DB622F" w:rsidP="00DB622F">
      <w:pPr>
        <w:autoSpaceDE w:val="0"/>
        <w:autoSpaceDN w:val="0"/>
        <w:adjustRightInd w:val="0"/>
        <w:spacing w:after="0" w:line="288" w:lineRule="auto"/>
        <w:ind w:firstLine="0"/>
        <w:textAlignment w:val="center"/>
        <w:rPr>
          <w:rFonts w:ascii="Roboto Bold" w:eastAsiaTheme="minorHAnsi" w:hAnsi="Roboto Bold" w:cs="Roboto Bold"/>
          <w:b/>
          <w:bCs/>
          <w:color w:val="3C3C3B"/>
          <w:sz w:val="36"/>
          <w:szCs w:val="36"/>
          <w:lang w:eastAsia="en-US"/>
        </w:rPr>
      </w:pPr>
      <w:r w:rsidRPr="00DB622F">
        <w:rPr>
          <w:rFonts w:ascii="Roboto Bold" w:eastAsiaTheme="minorHAnsi" w:hAnsi="Roboto Bold" w:cs="Roboto Bold"/>
          <w:b/>
          <w:bCs/>
          <w:color w:val="3C3C3B"/>
          <w:sz w:val="36"/>
          <w:szCs w:val="36"/>
          <w:lang w:eastAsia="en-US"/>
        </w:rPr>
        <w:t>РАССУЖДЕНИЯ НА ТЕМУ:</w:t>
      </w:r>
    </w:p>
    <w:p w:rsidR="00DB622F" w:rsidRDefault="00DB622F" w:rsidP="00DB622F">
      <w:pPr>
        <w:pStyle w:val="af3"/>
        <w:rPr>
          <w:rFonts w:asciiTheme="minorHAnsi" w:hAnsiTheme="minorHAnsi" w:cs="Roboto Bold"/>
          <w:b/>
          <w:bCs/>
          <w:color w:val="3C3C3B"/>
          <w:sz w:val="36"/>
          <w:szCs w:val="36"/>
          <w:lang w:val="ru-RU"/>
        </w:rPr>
      </w:pPr>
      <w:r w:rsidRPr="00DB622F">
        <w:rPr>
          <w:rFonts w:ascii="Roboto Bold" w:hAnsi="Roboto Bold" w:cs="Roboto Bold"/>
          <w:b/>
          <w:bCs/>
          <w:color w:val="3C3C3B"/>
          <w:sz w:val="36"/>
          <w:szCs w:val="36"/>
          <w:lang w:val="ru-RU"/>
        </w:rPr>
        <w:t>МУНИЦИПАЛЬНЫЕ ОКРУГА</w:t>
      </w:r>
    </w:p>
    <w:p w:rsidR="00DB622F" w:rsidRDefault="00DB622F" w:rsidP="00DB622F">
      <w:pPr>
        <w:pStyle w:val="af9"/>
        <w:ind w:firstLine="0"/>
      </w:pPr>
      <w:r>
        <w:t xml:space="preserve">В </w:t>
      </w:r>
      <w:r>
        <w:t xml:space="preserve">мае 2019 года Федеральный закон № 87-ФЗ предусмотрел новый тип муниципального образования — муниципальный округ, который может создаваться на сельских территориях и в котором реализуется одноуровневая модель местного самоуправления. </w:t>
      </w:r>
    </w:p>
    <w:p w:rsidR="00DB622F" w:rsidRDefault="00DB622F" w:rsidP="00DB622F">
      <w:pPr>
        <w:pStyle w:val="af9"/>
        <w:rPr>
          <w:spacing w:val="-4"/>
        </w:rPr>
      </w:pPr>
      <w:r>
        <w:rPr>
          <w:spacing w:val="-4"/>
        </w:rPr>
        <w:t xml:space="preserve">Принятие этого закона подтолкнуло  муниципалитеты в ряде регионов к новому витку территориальных преобразований. </w:t>
      </w:r>
    </w:p>
    <w:p w:rsidR="00DB622F" w:rsidRDefault="00DB622F" w:rsidP="00DB622F">
      <w:pPr>
        <w:pStyle w:val="af9"/>
        <w:rPr>
          <w:spacing w:val="-4"/>
        </w:rPr>
      </w:pPr>
      <w:r>
        <w:rPr>
          <w:spacing w:val="-4"/>
        </w:rPr>
        <w:t>Ранее основной формой, в которой проходили преобразования территорий, являлось объединение поселений. Так, по данным Минюста России, в 2018 году 140 из 189 случаев преобразования муниципальных образований — это объединения сельских поселений, которые приняли массовый характер в Республике Мордовия, Курганской, Саратовской и Смоленской областях, и еще в нескольких регионах осуществлялись эпизодически.</w:t>
      </w:r>
    </w:p>
    <w:p w:rsidR="00DB622F" w:rsidRDefault="00DB622F" w:rsidP="00DB622F">
      <w:pPr>
        <w:pStyle w:val="af9"/>
        <w:rPr>
          <w:spacing w:val="2"/>
        </w:rPr>
      </w:pPr>
      <w:r>
        <w:t xml:space="preserve">Наряду с этим процессом стал набирать обороты механизм создания муниципальных </w:t>
      </w:r>
      <w:r>
        <w:rPr>
          <w:spacing w:val="2"/>
        </w:rPr>
        <w:t xml:space="preserve">округов. При этом все городские округа, созданные до мая 2019 года на сельских территориях, будут постепенно преобразованы в муниципальные округа. </w:t>
      </w:r>
    </w:p>
    <w:p w:rsidR="00DB622F" w:rsidRDefault="00DB622F" w:rsidP="00DB622F">
      <w:pPr>
        <w:pStyle w:val="af9"/>
        <w:rPr>
          <w:spacing w:val="2"/>
        </w:rPr>
      </w:pPr>
      <w:r>
        <w:rPr>
          <w:spacing w:val="2"/>
        </w:rPr>
        <w:t xml:space="preserve">Такие преобразования  производились в Белгородской, Кировской, Тюменской, Тверской областях, Пермском крае. В результате территориального реформирования Калининградская область стала третьим субъектом Российской Федерации после Магаданской и Сахалинской областей, состоящим только из городских округов. </w:t>
      </w:r>
    </w:p>
    <w:p w:rsidR="00DB622F" w:rsidRDefault="00DB622F" w:rsidP="00DB622F">
      <w:pPr>
        <w:pStyle w:val="af9"/>
        <w:rPr>
          <w:spacing w:val="2"/>
        </w:rPr>
      </w:pPr>
      <w:proofErr w:type="gramStart"/>
      <w:r>
        <w:rPr>
          <w:spacing w:val="2"/>
        </w:rPr>
        <w:t>Как отмечено в Докладе Минюста РФ о состоянии и основных направлениях развития местного  самоуправления в Российской Федерации (размещен на сайте Министерства), динамика изменений, произведенных в течение 2018 года и первых двух месяцев 2019 года, затронувших в общей сложности 25 из 85 регионов страны, подтверждает ранее выявленные тенденции по уменьшению численности муниципальных образований (-479), прежде всего – сельских поселений (-425), а также</w:t>
      </w:r>
      <w:proofErr w:type="gramEnd"/>
      <w:r>
        <w:rPr>
          <w:spacing w:val="2"/>
        </w:rPr>
        <w:t xml:space="preserve"> по увеличению числа городских округов (+27). </w:t>
      </w:r>
    </w:p>
    <w:p w:rsidR="00DB622F" w:rsidRDefault="00DB622F" w:rsidP="00DB622F">
      <w:pPr>
        <w:pStyle w:val="af9"/>
        <w:rPr>
          <w:spacing w:val="2"/>
        </w:rPr>
      </w:pPr>
      <w:r>
        <w:rPr>
          <w:spacing w:val="2"/>
        </w:rPr>
        <w:t>Однако данные преобразования охватывают лишь небольшую часть субъектов Российской Федерации. Многие осторожны в этом вопросе, ведь любые преобразования несут в себе как положительные эффекты, так и риски, которые необходимо принимать в расчет.</w:t>
      </w:r>
    </w:p>
    <w:p w:rsidR="00DB622F" w:rsidRDefault="00DB622F" w:rsidP="00DB622F">
      <w:pPr>
        <w:pStyle w:val="af9"/>
        <w:rPr>
          <w:spacing w:val="2"/>
        </w:rPr>
      </w:pPr>
      <w:r>
        <w:rPr>
          <w:spacing w:val="2"/>
        </w:rPr>
        <w:t>Насколько необходим переход от управления в системе «поселение — муниципальный район» к муниципальному округу на территории Томской области? Об этом шла речь на заседании Президиума Совета.</w:t>
      </w:r>
    </w:p>
    <w:p w:rsidR="00DB622F" w:rsidRDefault="00DB622F" w:rsidP="00DB622F">
      <w:pPr>
        <w:pStyle w:val="af9"/>
        <w:rPr>
          <w:spacing w:val="2"/>
        </w:rPr>
      </w:pPr>
      <w:r>
        <w:rPr>
          <w:spacing w:val="2"/>
        </w:rPr>
        <w:t xml:space="preserve">По мнению главы </w:t>
      </w:r>
      <w:proofErr w:type="spellStart"/>
      <w:r>
        <w:rPr>
          <w:spacing w:val="2"/>
        </w:rPr>
        <w:t>Бакчарского</w:t>
      </w:r>
      <w:proofErr w:type="spellEnd"/>
      <w:r>
        <w:rPr>
          <w:spacing w:val="2"/>
        </w:rPr>
        <w:t xml:space="preserve">  района Сергея Петровича </w:t>
      </w:r>
      <w:proofErr w:type="spellStart"/>
      <w:r>
        <w:rPr>
          <w:spacing w:val="2"/>
        </w:rPr>
        <w:t>Реверы</w:t>
      </w:r>
      <w:proofErr w:type="spellEnd"/>
      <w:r>
        <w:rPr>
          <w:spacing w:val="2"/>
        </w:rPr>
        <w:t xml:space="preserve">, низкая бюджетная обеспеченность сельских поселений подталкивает их на объединение. </w:t>
      </w:r>
    </w:p>
    <w:p w:rsidR="00DB622F" w:rsidRDefault="00DB622F" w:rsidP="00DB622F">
      <w:pPr>
        <w:pStyle w:val="af9"/>
        <w:rPr>
          <w:spacing w:val="2"/>
        </w:rPr>
      </w:pPr>
      <w:r>
        <w:rPr>
          <w:spacing w:val="2"/>
        </w:rPr>
        <w:lastRenderedPageBreak/>
        <w:t xml:space="preserve">Многие полномочия переданы по соглашениям на уровень муниципального района. Где-то необходимо концентрировать бюджетные средства, чтобы территория могла более эффективно участвовать в национальных проектах. </w:t>
      </w:r>
    </w:p>
    <w:p w:rsidR="00DB622F" w:rsidRDefault="00DB622F" w:rsidP="00DB622F">
      <w:pPr>
        <w:pStyle w:val="af9"/>
        <w:rPr>
          <w:spacing w:val="2"/>
        </w:rPr>
      </w:pPr>
      <w:r>
        <w:rPr>
          <w:spacing w:val="2"/>
        </w:rPr>
        <w:t xml:space="preserve">— Что касается </w:t>
      </w:r>
      <w:proofErr w:type="spellStart"/>
      <w:r>
        <w:rPr>
          <w:spacing w:val="2"/>
        </w:rPr>
        <w:t>Бакчарского</w:t>
      </w:r>
      <w:proofErr w:type="spellEnd"/>
      <w:r>
        <w:rPr>
          <w:spacing w:val="2"/>
        </w:rPr>
        <w:t xml:space="preserve"> района, вопрос уже назрел, — констатировал Сергей Петрович, — в ряде сельских поселений серьезные кадровые проблемы. Так, в </w:t>
      </w:r>
      <w:proofErr w:type="spellStart"/>
      <w:r>
        <w:rPr>
          <w:spacing w:val="2"/>
        </w:rPr>
        <w:t>Поротниковском</w:t>
      </w:r>
      <w:proofErr w:type="spellEnd"/>
      <w:r>
        <w:rPr>
          <w:spacing w:val="2"/>
        </w:rPr>
        <w:t xml:space="preserve"> поселении из пяти сотрудников осталось двое и кандидатов для замещения трех вакансий вряд ли можно найти на этой территории.</w:t>
      </w:r>
    </w:p>
    <w:p w:rsidR="00DB622F" w:rsidRDefault="00DB622F" w:rsidP="00DB622F">
      <w:pPr>
        <w:pStyle w:val="af9"/>
        <w:rPr>
          <w:spacing w:val="2"/>
        </w:rPr>
      </w:pPr>
      <w:r>
        <w:rPr>
          <w:spacing w:val="2"/>
        </w:rPr>
        <w:t xml:space="preserve">В то же время, как отметила Ирина Ивановна </w:t>
      </w:r>
      <w:proofErr w:type="spellStart"/>
      <w:r>
        <w:rPr>
          <w:spacing w:val="2"/>
        </w:rPr>
        <w:t>Сиберт</w:t>
      </w:r>
      <w:proofErr w:type="spellEnd"/>
      <w:r>
        <w:rPr>
          <w:spacing w:val="2"/>
        </w:rPr>
        <w:t xml:space="preserve">, глава Первомайского района, прежде чем принимать решение о преобразовании, нужно очень серьезно проанализировать экономическую целесообразность, во-первых, и, во-вторых, активно в этом процессе взаимодействовать с жителями. </w:t>
      </w:r>
    </w:p>
    <w:p w:rsidR="00DB622F" w:rsidRDefault="00DB622F" w:rsidP="00DB622F">
      <w:pPr>
        <w:pStyle w:val="af9"/>
        <w:rPr>
          <w:spacing w:val="2"/>
        </w:rPr>
      </w:pPr>
      <w:r>
        <w:rPr>
          <w:spacing w:val="2"/>
        </w:rPr>
        <w:t xml:space="preserve">По мнению Президиума Совета, возможно, практику формирования муниципальных округов на территории Томской области широко применять не стоит. Каждый глава поселения, глава района, каждый Совет поселения должны для себя определить, насколько это эффективно для каждой конкретной территории.  </w:t>
      </w:r>
    </w:p>
    <w:p w:rsidR="00DB622F" w:rsidRDefault="00DB622F" w:rsidP="00DB622F">
      <w:pPr>
        <w:pStyle w:val="af9"/>
        <w:rPr>
          <w:spacing w:val="2"/>
        </w:rPr>
      </w:pPr>
      <w:r>
        <w:rPr>
          <w:spacing w:val="2"/>
        </w:rPr>
        <w:t xml:space="preserve">Однако все были единодушны в том, что вне зависимости от того, будут приниматься муниципалитетами решения об укрупнении или нет, в регионе должна быть сформирована законодательная база для обеспечения преобразований. </w:t>
      </w:r>
    </w:p>
    <w:p w:rsidR="00DB622F" w:rsidRDefault="00DB622F" w:rsidP="00DB622F">
      <w:pPr>
        <w:pStyle w:val="af9"/>
        <w:rPr>
          <w:spacing w:val="2"/>
        </w:rPr>
      </w:pPr>
      <w:r>
        <w:rPr>
          <w:spacing w:val="2"/>
        </w:rPr>
        <w:t>В частности, должно быть скорректировано законодательство о муниципальной службе, о гарантиях деятельности депутатов и выборных должностных лиц местного самоуправления. Если не законодательно, то хотя бы концептуально закреплены принципы межбюджетных отношений в случае создания муниципальных округов. Такое предложение по итогам работы Президиума направлено от имени  Совета муниципальных образований в Администрацию Томской области.</w:t>
      </w:r>
    </w:p>
    <w:p w:rsidR="00DB622F" w:rsidRDefault="00DB622F" w:rsidP="00DB622F">
      <w:pPr>
        <w:pStyle w:val="af3"/>
        <w:rPr>
          <w:lang w:val="ru-RU"/>
        </w:rPr>
      </w:pPr>
    </w:p>
    <w:p w:rsidR="00DB622F" w:rsidRPr="00DB622F" w:rsidRDefault="00DB622F" w:rsidP="00DB622F">
      <w:pPr>
        <w:autoSpaceDE w:val="0"/>
        <w:autoSpaceDN w:val="0"/>
        <w:adjustRightInd w:val="0"/>
        <w:spacing w:after="0" w:line="288" w:lineRule="auto"/>
        <w:ind w:firstLine="0"/>
        <w:textAlignment w:val="center"/>
        <w:rPr>
          <w:rFonts w:ascii="Roboto Bold" w:eastAsiaTheme="minorHAnsi" w:hAnsi="Roboto Bold" w:cs="Roboto Bold"/>
          <w:b/>
          <w:bCs/>
          <w:color w:val="3C3C3B"/>
          <w:sz w:val="36"/>
          <w:szCs w:val="36"/>
          <w:lang w:eastAsia="en-US"/>
        </w:rPr>
      </w:pPr>
      <w:r w:rsidRPr="00DB622F">
        <w:rPr>
          <w:rFonts w:ascii="Roboto Bold" w:eastAsiaTheme="minorHAnsi" w:hAnsi="Roboto Bold" w:cs="Roboto Bold"/>
          <w:b/>
          <w:bCs/>
          <w:color w:val="3C3C3B"/>
          <w:sz w:val="36"/>
          <w:szCs w:val="36"/>
          <w:lang w:eastAsia="en-US"/>
        </w:rPr>
        <w:t>ЗАКОНОДАТЕЛЬНЫЕ ИНИЦИАТИВЫ СОВЕТА</w:t>
      </w:r>
    </w:p>
    <w:p w:rsidR="00DB622F" w:rsidRDefault="00DB622F" w:rsidP="00DB622F">
      <w:pPr>
        <w:pStyle w:val="af9"/>
        <w:rPr>
          <w:spacing w:val="-2"/>
        </w:rPr>
      </w:pPr>
      <w:r>
        <w:rPr>
          <w:spacing w:val="-2"/>
        </w:rPr>
        <w:t xml:space="preserve">Президиум Совета принял решение направить в Законодательную Думу Томской области две законодательные инициативы, касающиеся формирования Регистра муниципальных нормативных правовых актов, а также охраны здоровья несовершеннолетних от воздействия </w:t>
      </w:r>
      <w:proofErr w:type="spellStart"/>
      <w:r>
        <w:rPr>
          <w:spacing w:val="-2"/>
        </w:rPr>
        <w:t>никотинсодержащих</w:t>
      </w:r>
      <w:proofErr w:type="spellEnd"/>
      <w:r>
        <w:rPr>
          <w:spacing w:val="-2"/>
        </w:rPr>
        <w:t xml:space="preserve"> препаратов. </w:t>
      </w:r>
    </w:p>
    <w:p w:rsidR="00DB622F" w:rsidRDefault="00DB622F" w:rsidP="00DB622F">
      <w:pPr>
        <w:pStyle w:val="af9"/>
        <w:rPr>
          <w:spacing w:val="-2"/>
        </w:rPr>
      </w:pPr>
      <w:r>
        <w:rPr>
          <w:spacing w:val="-2"/>
        </w:rPr>
        <w:t xml:space="preserve">Инициатором первой законодательной инициативы выступила администрация </w:t>
      </w:r>
      <w:proofErr w:type="spellStart"/>
      <w:r>
        <w:rPr>
          <w:spacing w:val="-2"/>
        </w:rPr>
        <w:t>Кожевниковского</w:t>
      </w:r>
      <w:proofErr w:type="spellEnd"/>
      <w:r>
        <w:rPr>
          <w:spacing w:val="-2"/>
        </w:rPr>
        <w:t xml:space="preserve"> района. </w:t>
      </w:r>
    </w:p>
    <w:p w:rsidR="00DB622F" w:rsidRDefault="00DB622F" w:rsidP="00DB622F">
      <w:pPr>
        <w:pStyle w:val="af9"/>
        <w:rPr>
          <w:spacing w:val="-2"/>
        </w:rPr>
      </w:pPr>
      <w:r>
        <w:rPr>
          <w:spacing w:val="-2"/>
        </w:rPr>
        <w:t xml:space="preserve">Предлагается внести изменения в Порядок ведения Регистра муниципальных нормативных правовых актов и установить более широкий перечень форматов предоставления муниципальных правовых актов в Регистр в электронном виде.  </w:t>
      </w:r>
    </w:p>
    <w:p w:rsidR="00DB622F" w:rsidRDefault="00DB622F" w:rsidP="00DB622F">
      <w:pPr>
        <w:pStyle w:val="af9"/>
        <w:rPr>
          <w:spacing w:val="-2"/>
        </w:rPr>
      </w:pPr>
      <w:r>
        <w:rPr>
          <w:spacing w:val="-2"/>
        </w:rPr>
        <w:t xml:space="preserve">Действующий областной закон предписывает направлять электронные версии муниципальных актов в виде текстового файла в формате </w:t>
      </w:r>
      <w:proofErr w:type="spellStart"/>
      <w:r>
        <w:rPr>
          <w:spacing w:val="-2"/>
        </w:rPr>
        <w:t>Microsoft</w:t>
      </w:r>
      <w:proofErr w:type="spellEnd"/>
      <w:r>
        <w:rPr>
          <w:spacing w:val="-2"/>
        </w:rPr>
        <w:t xml:space="preserve"> </w:t>
      </w:r>
      <w:proofErr w:type="spellStart"/>
      <w:r>
        <w:rPr>
          <w:spacing w:val="-2"/>
        </w:rPr>
        <w:t>Word</w:t>
      </w:r>
      <w:proofErr w:type="spellEnd"/>
      <w:r>
        <w:rPr>
          <w:spacing w:val="-2"/>
        </w:rPr>
        <w:t xml:space="preserve">. Однако сегодня органы местного самоуправления переходят на использование отечественного офисного программного обеспечения. </w:t>
      </w:r>
    </w:p>
    <w:p w:rsidR="00DB622F" w:rsidRDefault="00DB622F" w:rsidP="00DB622F">
      <w:pPr>
        <w:pStyle w:val="af9"/>
        <w:rPr>
          <w:spacing w:val="-2"/>
        </w:rPr>
      </w:pPr>
      <w:r>
        <w:rPr>
          <w:spacing w:val="-2"/>
        </w:rPr>
        <w:t xml:space="preserve">К тому же приказом </w:t>
      </w:r>
      <w:proofErr w:type="spellStart"/>
      <w:r>
        <w:rPr>
          <w:spacing w:val="-2"/>
        </w:rPr>
        <w:t>Минкомсвязи</w:t>
      </w:r>
      <w:proofErr w:type="spellEnd"/>
      <w:r>
        <w:rPr>
          <w:spacing w:val="-2"/>
        </w:rPr>
        <w:t xml:space="preserve"> РФ рекомендовано в правовых актах государственных органов и органов местного самоуправления  </w:t>
      </w:r>
      <w:proofErr w:type="gramStart"/>
      <w:r>
        <w:rPr>
          <w:spacing w:val="-2"/>
        </w:rPr>
        <w:t>исключить</w:t>
      </w:r>
      <w:proofErr w:type="gramEnd"/>
      <w:r>
        <w:rPr>
          <w:spacing w:val="-2"/>
        </w:rPr>
        <w:t xml:space="preserve"> нормы, закрепляющие использование конкретных наименований производителей, являющихся правообладателями иностранного офисного программного обеспечения.</w:t>
      </w:r>
    </w:p>
    <w:p w:rsidR="00DB622F" w:rsidRPr="00DB622F" w:rsidRDefault="00DB622F" w:rsidP="00DB622F">
      <w:pPr>
        <w:pStyle w:val="af9"/>
        <w:rPr>
          <w:spacing w:val="-2"/>
        </w:rPr>
      </w:pPr>
      <w:r w:rsidRPr="00DB622F">
        <w:rPr>
          <w:spacing w:val="-2"/>
        </w:rPr>
        <w:t xml:space="preserve">Подготовить вторую законодательную инициативу предложил Председатель Совета </w:t>
      </w:r>
      <w:proofErr w:type="spellStart"/>
      <w:r w:rsidRPr="00DB622F">
        <w:rPr>
          <w:spacing w:val="-2"/>
        </w:rPr>
        <w:t>Шамин</w:t>
      </w:r>
      <w:proofErr w:type="spellEnd"/>
      <w:r w:rsidRPr="00DB622F">
        <w:rPr>
          <w:spacing w:val="-2"/>
        </w:rPr>
        <w:t xml:space="preserve"> Григорий Андреевич. </w:t>
      </w:r>
    </w:p>
    <w:p w:rsidR="00DB622F" w:rsidRDefault="00DB622F" w:rsidP="00DB622F">
      <w:pPr>
        <w:pStyle w:val="af9"/>
        <w:rPr>
          <w:spacing w:val="-2"/>
        </w:rPr>
      </w:pPr>
      <w:r>
        <w:rPr>
          <w:spacing w:val="-2"/>
        </w:rPr>
        <w:t xml:space="preserve">В последнее время все чаще стали появляться тревожные новости о распространении среди несовершеннолетних различных </w:t>
      </w:r>
      <w:proofErr w:type="spellStart"/>
      <w:r>
        <w:rPr>
          <w:spacing w:val="-2"/>
        </w:rPr>
        <w:t>никотинсодержащих</w:t>
      </w:r>
      <w:proofErr w:type="spellEnd"/>
      <w:r>
        <w:rPr>
          <w:spacing w:val="-2"/>
        </w:rPr>
        <w:t xml:space="preserve"> смесей. Среди подростков растет популярность </w:t>
      </w:r>
      <w:proofErr w:type="spellStart"/>
      <w:r>
        <w:rPr>
          <w:spacing w:val="-2"/>
        </w:rPr>
        <w:t>снюса</w:t>
      </w:r>
      <w:proofErr w:type="spellEnd"/>
      <w:r>
        <w:rPr>
          <w:spacing w:val="-2"/>
        </w:rPr>
        <w:t>, электронных систем доставки никотина, имитирующих процесс курения табака, других вредных веществ, потребление которых способствует пристрастию к ним.</w:t>
      </w:r>
    </w:p>
    <w:p w:rsidR="00DB622F" w:rsidRDefault="00DB622F" w:rsidP="00DB622F">
      <w:pPr>
        <w:pStyle w:val="af9"/>
        <w:rPr>
          <w:spacing w:val="-2"/>
        </w:rPr>
      </w:pPr>
      <w:r>
        <w:rPr>
          <w:spacing w:val="-2"/>
        </w:rPr>
        <w:t>— Эта продукция содержит никотин, вызывающий физическую и психическую зависимость, — уточнил Григорий Андреевич. — Испарительные смеси состоят из токсичных веществ, которые при нагревании создают реальную опасность для жизни, здоровья и полноценного развития детей. Поэтому важно максимально оперативно ограничить доступ к этим изделиям для детей и подростков.</w:t>
      </w:r>
    </w:p>
    <w:p w:rsidR="00DB622F" w:rsidRPr="00DB622F" w:rsidRDefault="00DB622F" w:rsidP="00DB622F">
      <w:pPr>
        <w:autoSpaceDE w:val="0"/>
        <w:autoSpaceDN w:val="0"/>
        <w:adjustRightInd w:val="0"/>
        <w:spacing w:before="113" w:after="0" w:line="288" w:lineRule="auto"/>
        <w:ind w:left="2832" w:firstLine="0"/>
        <w:jc w:val="left"/>
        <w:textAlignment w:val="center"/>
        <w:rPr>
          <w:rFonts w:ascii="Helvetica Light Oblique" w:eastAsiaTheme="minorHAnsi" w:hAnsi="Helvetica Light Oblique" w:cs="Helvetica Light Oblique"/>
          <w:i/>
          <w:iCs/>
          <w:color w:val="3C3C3B"/>
          <w:spacing w:val="-2"/>
          <w:sz w:val="16"/>
          <w:szCs w:val="16"/>
          <w:lang w:eastAsia="en-US"/>
        </w:rPr>
      </w:pPr>
      <w:r w:rsidRPr="00DB622F">
        <w:rPr>
          <w:rFonts w:ascii="Helvetica Light Oblique" w:eastAsiaTheme="minorHAnsi" w:hAnsi="Helvetica Light Oblique" w:cs="Helvetica Light Oblique"/>
          <w:i/>
          <w:iCs/>
          <w:color w:val="3C3C3B"/>
          <w:spacing w:val="-2"/>
          <w:sz w:val="16"/>
          <w:szCs w:val="16"/>
          <w:lang w:eastAsia="en-US"/>
        </w:rPr>
        <w:t xml:space="preserve">Федеральным законодательством данная сфера общественных отношений практически не урегулирована, что позволяет осуществлять продажу </w:t>
      </w:r>
      <w:proofErr w:type="spellStart"/>
      <w:r w:rsidRPr="00DB622F">
        <w:rPr>
          <w:rFonts w:ascii="Helvetica Light Oblique" w:eastAsiaTheme="minorHAnsi" w:hAnsi="Helvetica Light Oblique" w:cs="Helvetica Light Oblique"/>
          <w:i/>
          <w:iCs/>
          <w:color w:val="3C3C3B"/>
          <w:spacing w:val="-2"/>
          <w:sz w:val="16"/>
          <w:szCs w:val="16"/>
          <w:lang w:eastAsia="en-US"/>
        </w:rPr>
        <w:t>никотинсодержащей</w:t>
      </w:r>
      <w:proofErr w:type="spellEnd"/>
      <w:r w:rsidRPr="00DB622F">
        <w:rPr>
          <w:rFonts w:ascii="Helvetica Light Oblique" w:eastAsiaTheme="minorHAnsi" w:hAnsi="Helvetica Light Oblique" w:cs="Helvetica Light Oblique"/>
          <w:i/>
          <w:iCs/>
          <w:color w:val="3C3C3B"/>
          <w:spacing w:val="-2"/>
          <w:sz w:val="16"/>
          <w:szCs w:val="16"/>
          <w:lang w:eastAsia="en-US"/>
        </w:rPr>
        <w:t xml:space="preserve"> продукции, а также электронных систем доставки никотина, имитирующих процесс курения табака, без возрастных ограничений.</w:t>
      </w:r>
    </w:p>
    <w:p w:rsidR="00DB622F" w:rsidRPr="00DB622F" w:rsidRDefault="00DB622F" w:rsidP="00DB622F">
      <w:pPr>
        <w:pStyle w:val="af3"/>
        <w:rPr>
          <w:lang w:val="ru-RU"/>
        </w:rPr>
      </w:pPr>
    </w:p>
    <w:p w:rsidR="009421DE" w:rsidRPr="00DB622F" w:rsidRDefault="00DB622F" w:rsidP="00DB622F">
      <w:pPr>
        <w:pStyle w:val="af9"/>
      </w:pPr>
      <w:r w:rsidRPr="00DB622F">
        <w:rPr>
          <w:spacing w:val="-2"/>
        </w:rPr>
        <w:t>Президиум Совета поддержал инициативу и предложил установить в регионе запрет на распространение несовершеннолетним данного вида продукции.</w:t>
      </w:r>
      <w:bookmarkStart w:id="0" w:name="_GoBack"/>
      <w:bookmarkEnd w:id="0"/>
    </w:p>
    <w:sectPr w:rsidR="009421DE" w:rsidRPr="00DB622F" w:rsidSect="00055904">
      <w:headerReference w:type="default" r:id="rId8"/>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E1" w:rsidRDefault="00BA6AE1" w:rsidP="002868CF">
      <w:r>
        <w:separator/>
      </w:r>
    </w:p>
  </w:endnote>
  <w:endnote w:type="continuationSeparator" w:id="0">
    <w:p w:rsidR="00BA6AE1" w:rsidRDefault="00BA6AE1"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charset w:val="CC"/>
    <w:family w:val="auto"/>
    <w:pitch w:val="variable"/>
    <w:sig w:usb0="E00002EF" w:usb1="5000205B" w:usb2="00000020" w:usb3="00000000" w:csb0="0000019F" w:csb1="00000000"/>
  </w:font>
  <w:font w:name="Roboto">
    <w:altName w:val="Times New Roman"/>
    <w:charset w:val="CC"/>
    <w:family w:val="auto"/>
    <w:pitch w:val="variable"/>
    <w:sig w:usb0="00000001" w:usb1="5000205B" w:usb2="00000020" w:usb3="00000000" w:csb0="0000019F" w:csb1="00000000"/>
  </w:font>
  <w:font w:name="PT Serif Caption">
    <w:altName w:val="Century"/>
    <w:charset w:val="CC"/>
    <w:family w:val="roman"/>
    <w:pitch w:val="variable"/>
    <w:sig w:usb0="00000001"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altName w:val="Arial"/>
    <w:panose1 w:val="00000000000000000000"/>
    <w:charset w:val="00"/>
    <w:family w:val="modern"/>
    <w:notTrueType/>
    <w:pitch w:val="variable"/>
    <w:sig w:usb0="00000003"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Roboto Black">
    <w:altName w:val="Times New Roman"/>
    <w:panose1 w:val="00000000000000000000"/>
    <w:charset w:val="00"/>
    <w:family w:val="auto"/>
    <w:notTrueType/>
    <w:pitch w:val="default"/>
    <w:sig w:usb0="00000003" w:usb1="00000000" w:usb2="00000000" w:usb3="00000000" w:csb0="00000001" w:csb1="00000000"/>
  </w:font>
  <w:font w:name="Roboto Bold">
    <w:altName w:val="Times New Roman"/>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E1" w:rsidRDefault="00BA6AE1" w:rsidP="002868CF">
      <w:r>
        <w:separator/>
      </w:r>
    </w:p>
  </w:footnote>
  <w:footnote w:type="continuationSeparator" w:id="0">
    <w:p w:rsidR="00BA6AE1" w:rsidRDefault="00BA6AE1"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08" w:rsidRPr="00B05AC3" w:rsidRDefault="00946D08"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F524C3">
      <w:rPr>
        <w:rFonts w:ascii="Myriad Pro" w:hAnsi="Myriad Pro"/>
        <w:color w:val="auto"/>
        <w:sz w:val="20"/>
        <w:szCs w:val="20"/>
      </w:rPr>
      <w:t>ОКТЯБРЬ-ДЕКАБРЬ</w:t>
    </w:r>
    <w:r>
      <w:rPr>
        <w:rFonts w:ascii="Myriad Pro" w:hAnsi="Myriad Pro"/>
        <w:color w:val="auto"/>
        <w:sz w:val="20"/>
        <w:szCs w:val="20"/>
      </w:rPr>
      <w:t xml:space="preserve">  2019</w:t>
    </w:r>
  </w:p>
  <w:p w:rsidR="00946D08" w:rsidRDefault="00BA6AE1"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946D08" w:rsidRDefault="00946D08" w:rsidP="00B05AC3">
    <w:pPr>
      <w:pStyle w:val="a4"/>
      <w:tabs>
        <w:tab w:val="clear" w:pos="9355"/>
        <w:tab w:val="right" w:pos="10773"/>
      </w:tabs>
      <w:jc w:val="center"/>
      <w:rPr>
        <w:rFonts w:ascii="Minion Pro" w:hAnsi="Minion Pro"/>
        <w:b/>
        <w:sz w:val="18"/>
        <w:szCs w:val="18"/>
      </w:rPr>
    </w:pPr>
  </w:p>
  <w:p w:rsidR="00946D08" w:rsidRPr="00B05AC3" w:rsidRDefault="00946D08"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
    <w:nsid w:val="55FC7884"/>
    <w:multiLevelType w:val="hybridMultilevel"/>
    <w:tmpl w:val="579C9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55904"/>
    <w:rsid w:val="00091A6F"/>
    <w:rsid w:val="0009463E"/>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200E3E"/>
    <w:rsid w:val="00202070"/>
    <w:rsid w:val="0020495B"/>
    <w:rsid w:val="00207518"/>
    <w:rsid w:val="00242C23"/>
    <w:rsid w:val="002546AA"/>
    <w:rsid w:val="00255CB8"/>
    <w:rsid w:val="00270ADC"/>
    <w:rsid w:val="002825CD"/>
    <w:rsid w:val="00285814"/>
    <w:rsid w:val="002868CF"/>
    <w:rsid w:val="002900D3"/>
    <w:rsid w:val="0029469C"/>
    <w:rsid w:val="002A168C"/>
    <w:rsid w:val="002B3D12"/>
    <w:rsid w:val="002D10EE"/>
    <w:rsid w:val="002D65BE"/>
    <w:rsid w:val="002D71DA"/>
    <w:rsid w:val="002E270B"/>
    <w:rsid w:val="002F399B"/>
    <w:rsid w:val="00332C62"/>
    <w:rsid w:val="00345300"/>
    <w:rsid w:val="00354B27"/>
    <w:rsid w:val="00373556"/>
    <w:rsid w:val="00380064"/>
    <w:rsid w:val="00383DD9"/>
    <w:rsid w:val="00387B45"/>
    <w:rsid w:val="00397219"/>
    <w:rsid w:val="003A06FF"/>
    <w:rsid w:val="003A3668"/>
    <w:rsid w:val="003C4A90"/>
    <w:rsid w:val="003E0132"/>
    <w:rsid w:val="003E3A5D"/>
    <w:rsid w:val="00400F4A"/>
    <w:rsid w:val="00425500"/>
    <w:rsid w:val="00431B71"/>
    <w:rsid w:val="004444DC"/>
    <w:rsid w:val="00444AC3"/>
    <w:rsid w:val="00463A59"/>
    <w:rsid w:val="00471A91"/>
    <w:rsid w:val="00483CD0"/>
    <w:rsid w:val="00492F26"/>
    <w:rsid w:val="0049420D"/>
    <w:rsid w:val="004943CA"/>
    <w:rsid w:val="004A68A1"/>
    <w:rsid w:val="004B05F0"/>
    <w:rsid w:val="004B0EE7"/>
    <w:rsid w:val="004B7282"/>
    <w:rsid w:val="004F4EEC"/>
    <w:rsid w:val="005069FA"/>
    <w:rsid w:val="00507AE7"/>
    <w:rsid w:val="00511148"/>
    <w:rsid w:val="00512C42"/>
    <w:rsid w:val="00524C31"/>
    <w:rsid w:val="00552BEB"/>
    <w:rsid w:val="00564B2A"/>
    <w:rsid w:val="00565FA9"/>
    <w:rsid w:val="005750F0"/>
    <w:rsid w:val="00581E26"/>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5247"/>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6645"/>
    <w:rsid w:val="00831513"/>
    <w:rsid w:val="008317D0"/>
    <w:rsid w:val="00840129"/>
    <w:rsid w:val="008406CC"/>
    <w:rsid w:val="00840C7D"/>
    <w:rsid w:val="008534E4"/>
    <w:rsid w:val="00861DAD"/>
    <w:rsid w:val="00883A33"/>
    <w:rsid w:val="008B2592"/>
    <w:rsid w:val="008C79BF"/>
    <w:rsid w:val="008D11BA"/>
    <w:rsid w:val="008F0054"/>
    <w:rsid w:val="00912CD7"/>
    <w:rsid w:val="00913A5C"/>
    <w:rsid w:val="00922C89"/>
    <w:rsid w:val="00932D6D"/>
    <w:rsid w:val="009372B5"/>
    <w:rsid w:val="009421DE"/>
    <w:rsid w:val="00946D08"/>
    <w:rsid w:val="00974C9F"/>
    <w:rsid w:val="009810DB"/>
    <w:rsid w:val="00991BBB"/>
    <w:rsid w:val="009B2B5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AE074F"/>
    <w:rsid w:val="00B05AC3"/>
    <w:rsid w:val="00B61B04"/>
    <w:rsid w:val="00B6671F"/>
    <w:rsid w:val="00B76FF2"/>
    <w:rsid w:val="00B82C32"/>
    <w:rsid w:val="00B973A7"/>
    <w:rsid w:val="00BA6AE1"/>
    <w:rsid w:val="00BC4599"/>
    <w:rsid w:val="00BC6D38"/>
    <w:rsid w:val="00BD5D4F"/>
    <w:rsid w:val="00BD6ABF"/>
    <w:rsid w:val="00BE4E4A"/>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51C82"/>
    <w:rsid w:val="00D53E93"/>
    <w:rsid w:val="00D61859"/>
    <w:rsid w:val="00D8089D"/>
    <w:rsid w:val="00D9051D"/>
    <w:rsid w:val="00D938B0"/>
    <w:rsid w:val="00DB622F"/>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C66A0"/>
    <w:rsid w:val="00ED1950"/>
    <w:rsid w:val="00EF66F0"/>
    <w:rsid w:val="00F306F1"/>
    <w:rsid w:val="00F34AE7"/>
    <w:rsid w:val="00F401A3"/>
    <w:rsid w:val="00F42144"/>
    <w:rsid w:val="00F524C3"/>
    <w:rsid w:val="00F60C83"/>
    <w:rsid w:val="00F656A0"/>
    <w:rsid w:val="00F72930"/>
    <w:rsid w:val="00F771FF"/>
    <w:rsid w:val="00F8783C"/>
    <w:rsid w:val="00FA30CC"/>
    <w:rsid w:val="00FF3348"/>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F524C3"/>
    <w:pPr>
      <w:jc w:val="right"/>
    </w:pPr>
    <w:rPr>
      <w:rFonts w:ascii="Helvetica Light Oblique" w:hAnsi="Helvetica Light Oblique" w:cs="Helvetica Light Oblique"/>
      <w:i/>
      <w:iCs/>
      <w:color w:val="3C3C3B"/>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2</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user3</cp:lastModifiedBy>
  <cp:revision>19</cp:revision>
  <dcterms:created xsi:type="dcterms:W3CDTF">2018-01-22T02:08:00Z</dcterms:created>
  <dcterms:modified xsi:type="dcterms:W3CDTF">2019-12-28T11:39:00Z</dcterms:modified>
</cp:coreProperties>
</file>