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7A" w:rsidRPr="0039637A" w:rsidRDefault="0039637A" w:rsidP="0039637A">
      <w:pPr>
        <w:autoSpaceDE w:val="0"/>
        <w:autoSpaceDN w:val="0"/>
        <w:adjustRightInd w:val="0"/>
        <w:spacing w:after="0" w:line="288" w:lineRule="auto"/>
        <w:ind w:firstLine="0"/>
        <w:textAlignment w:val="center"/>
        <w:rPr>
          <w:rFonts w:ascii="Roboto Bold" w:eastAsiaTheme="minorHAnsi" w:hAnsi="Roboto Bold" w:cs="Roboto Bold"/>
          <w:b/>
          <w:bCs/>
          <w:caps/>
          <w:color w:val="3C3C3B"/>
          <w:sz w:val="48"/>
          <w:szCs w:val="48"/>
          <w:lang w:eastAsia="en-US"/>
        </w:rPr>
      </w:pPr>
      <w:r w:rsidRPr="0039637A">
        <w:rPr>
          <w:rFonts w:ascii="Roboto Bold" w:eastAsiaTheme="minorHAnsi" w:hAnsi="Roboto Bold" w:cs="Roboto Bold"/>
          <w:b/>
          <w:bCs/>
          <w:caps/>
          <w:color w:val="3C3C3B"/>
          <w:sz w:val="48"/>
          <w:szCs w:val="48"/>
          <w:lang w:eastAsia="en-US"/>
        </w:rPr>
        <w:t>время трансформации</w:t>
      </w:r>
    </w:p>
    <w:p w:rsidR="00D53E93" w:rsidRPr="00D53E93" w:rsidRDefault="00D53E93" w:rsidP="00D53E93">
      <w:pPr>
        <w:autoSpaceDE w:val="0"/>
        <w:autoSpaceDN w:val="0"/>
        <w:adjustRightInd w:val="0"/>
        <w:spacing w:after="0" w:line="288" w:lineRule="auto"/>
        <w:ind w:left="5240" w:firstLine="0"/>
        <w:jc w:val="right"/>
        <w:textAlignment w:val="center"/>
        <w:rPr>
          <w:rFonts w:ascii="Georgia" w:eastAsiaTheme="minorHAnsi" w:hAnsi="Georgia" w:cs="Georgia"/>
          <w:i/>
          <w:iCs/>
          <w:color w:val="000000"/>
          <w:sz w:val="18"/>
          <w:szCs w:val="18"/>
          <w:lang w:eastAsia="en-US"/>
        </w:rPr>
      </w:pPr>
    </w:p>
    <w:p w:rsidR="0039637A" w:rsidRPr="0039637A" w:rsidRDefault="0039637A" w:rsidP="0039637A">
      <w:pPr>
        <w:suppressAutoHyphens/>
        <w:autoSpaceDE w:val="0"/>
        <w:autoSpaceDN w:val="0"/>
        <w:adjustRightInd w:val="0"/>
        <w:spacing w:after="0" w:line="288" w:lineRule="auto"/>
        <w:ind w:firstLine="0"/>
        <w:textAlignment w:val="center"/>
        <w:rPr>
          <w:rFonts w:ascii="PT Serif Caption Italic" w:eastAsiaTheme="minorHAnsi" w:hAnsi="PT Serif Caption Italic" w:cs="PT Serif Caption Italic"/>
          <w:i/>
          <w:iCs/>
          <w:color w:val="3C3C3B"/>
          <w:lang w:eastAsia="en-US"/>
        </w:rPr>
      </w:pPr>
      <w:r w:rsidRPr="0039637A">
        <w:rPr>
          <w:rFonts w:ascii="PT Serif Caption Italic" w:eastAsiaTheme="minorHAnsi" w:hAnsi="PT Serif Caption Italic" w:cs="PT Serif Caption Italic"/>
          <w:i/>
          <w:iCs/>
          <w:color w:val="3C3C3B"/>
          <w:lang w:eastAsia="en-US"/>
        </w:rPr>
        <w:t xml:space="preserve">Ситуация, связанная с распространением новой </w:t>
      </w:r>
      <w:proofErr w:type="spellStart"/>
      <w:r w:rsidRPr="0039637A">
        <w:rPr>
          <w:rFonts w:ascii="PT Serif Caption Italic" w:eastAsiaTheme="minorHAnsi" w:hAnsi="PT Serif Caption Italic" w:cs="PT Serif Caption Italic"/>
          <w:i/>
          <w:iCs/>
          <w:color w:val="3C3C3B"/>
          <w:lang w:eastAsia="en-US"/>
        </w:rPr>
        <w:t>коронавирусной</w:t>
      </w:r>
      <w:proofErr w:type="spellEnd"/>
      <w:r w:rsidRPr="0039637A">
        <w:rPr>
          <w:rFonts w:ascii="PT Serif Caption Italic" w:eastAsiaTheme="minorHAnsi" w:hAnsi="PT Serif Caption Italic" w:cs="PT Serif Caption Italic"/>
          <w:i/>
          <w:iCs/>
          <w:color w:val="3C3C3B"/>
          <w:lang w:eastAsia="en-US"/>
        </w:rPr>
        <w:t xml:space="preserve"> инфекции COVID-19, только ускорила процесс перехода Совета муниципальных образований Томской области на дистанционные формы работы.</w:t>
      </w:r>
    </w:p>
    <w:p w:rsidR="00D53E93" w:rsidRDefault="00D53E93" w:rsidP="00D53E93">
      <w:pPr>
        <w:ind w:left="4956"/>
      </w:pPr>
    </w:p>
    <w:p w:rsidR="0039637A" w:rsidRDefault="0039637A" w:rsidP="0039637A">
      <w:pPr>
        <w:pStyle w:val="af9"/>
        <w:rPr>
          <w:spacing w:val="-2"/>
        </w:rPr>
      </w:pPr>
      <w:r>
        <w:rPr>
          <w:spacing w:val="-2"/>
        </w:rPr>
        <w:t xml:space="preserve">В </w:t>
      </w:r>
      <w:r>
        <w:rPr>
          <w:spacing w:val="-2"/>
        </w:rPr>
        <w:t>конце прошлого года Президиум Совета муниципальных образований принял решение оборудовать конференц-зал Совета средствами видеоконференцсвязи. Излишне обсуждать необходимость установки системы ВКС для повышения вовлеченности муниципальных служащих в процессы повышения квалификации, в обсуждение актуальных вопросов местного самоуправления, особенно для специалистов северных территорий. Данное решение закрепил 16 Съезд Совета, установив при этом дополнительные целевые взносы для муниципальных районов и городских округов.</w:t>
      </w:r>
    </w:p>
    <w:p w:rsidR="0039637A" w:rsidRDefault="0039637A" w:rsidP="0039637A">
      <w:pPr>
        <w:pStyle w:val="af9"/>
        <w:rPr>
          <w:spacing w:val="-2"/>
        </w:rPr>
      </w:pPr>
      <w:r>
        <w:rPr>
          <w:spacing w:val="-2"/>
        </w:rPr>
        <w:t xml:space="preserve">Так, на основании принятых решений, а также в рамках «цифрового сопротивления» COVID-19, внимание Совета во втором квартале 2020 года было направлено на решение ключевой задачи: обустройство помещения системой ВКС, а также поиск и апробация программного продукта, который мог бы обеспечить качественную связь со всеми муниципалитетами региона. </w:t>
      </w:r>
    </w:p>
    <w:p w:rsidR="0039637A" w:rsidRDefault="0039637A" w:rsidP="0039637A">
      <w:pPr>
        <w:pStyle w:val="af9"/>
        <w:rPr>
          <w:spacing w:val="-2"/>
        </w:rPr>
      </w:pPr>
      <w:r>
        <w:rPr>
          <w:spacing w:val="-2"/>
        </w:rPr>
        <w:t xml:space="preserve">В результате исследования рынка Совет сделал свой выбор в пользу тех решений, которые предлагает компания </w:t>
      </w:r>
      <w:proofErr w:type="spellStart"/>
      <w:r>
        <w:rPr>
          <w:spacing w:val="-2"/>
        </w:rPr>
        <w:t>TrueConf</w:t>
      </w:r>
      <w:proofErr w:type="spellEnd"/>
      <w:r>
        <w:rPr>
          <w:spacing w:val="-2"/>
        </w:rPr>
        <w:t xml:space="preserve">. Российский продукт, который включен в Единый реестр отечественных программ и работает на операционных системах </w:t>
      </w:r>
      <w:proofErr w:type="spellStart"/>
      <w:r>
        <w:rPr>
          <w:spacing w:val="-2"/>
        </w:rPr>
        <w:t>Windows</w:t>
      </w:r>
      <w:proofErr w:type="spellEnd"/>
      <w:r>
        <w:rPr>
          <w:spacing w:val="-2"/>
        </w:rPr>
        <w:t xml:space="preserve">, </w:t>
      </w:r>
      <w:proofErr w:type="spellStart"/>
      <w:r>
        <w:rPr>
          <w:spacing w:val="-2"/>
        </w:rPr>
        <w:t>macOS</w:t>
      </w:r>
      <w:proofErr w:type="spellEnd"/>
      <w:r>
        <w:rPr>
          <w:spacing w:val="-2"/>
        </w:rPr>
        <w:t xml:space="preserve">, </w:t>
      </w:r>
      <w:proofErr w:type="spellStart"/>
      <w:r>
        <w:rPr>
          <w:spacing w:val="-2"/>
        </w:rPr>
        <w:t>iOS</w:t>
      </w:r>
      <w:proofErr w:type="spellEnd"/>
      <w:r>
        <w:rPr>
          <w:spacing w:val="-2"/>
        </w:rPr>
        <w:t xml:space="preserve">, </w:t>
      </w:r>
      <w:proofErr w:type="spellStart"/>
      <w:r>
        <w:rPr>
          <w:spacing w:val="-2"/>
        </w:rPr>
        <w:t>Android</w:t>
      </w:r>
      <w:proofErr w:type="spellEnd"/>
      <w:r>
        <w:rPr>
          <w:spacing w:val="-2"/>
        </w:rPr>
        <w:t xml:space="preserve"> и </w:t>
      </w:r>
      <w:proofErr w:type="spellStart"/>
      <w:r>
        <w:rPr>
          <w:spacing w:val="-2"/>
        </w:rPr>
        <w:t>Linux</w:t>
      </w:r>
      <w:proofErr w:type="spellEnd"/>
      <w:r>
        <w:rPr>
          <w:spacing w:val="-2"/>
        </w:rPr>
        <w:t>, позволяет удаленно принять участие в мероприятиях Совета со своего рабочего или домашнего компьютера, со смартфона или через ВКС-терминал.</w:t>
      </w:r>
    </w:p>
    <w:p w:rsidR="0039637A" w:rsidRDefault="0039637A" w:rsidP="0039637A">
      <w:pPr>
        <w:pStyle w:val="af9"/>
        <w:rPr>
          <w:spacing w:val="-2"/>
        </w:rPr>
      </w:pPr>
      <w:r>
        <w:rPr>
          <w:spacing w:val="-2"/>
        </w:rPr>
        <w:t xml:space="preserve">Первое онлайн-мероприятие в тестовом режиме мы организовали в конце апреля совместно с Департаментом государственного заказа Томской области, в </w:t>
      </w:r>
      <w:proofErr w:type="gramStart"/>
      <w:r>
        <w:rPr>
          <w:spacing w:val="-2"/>
        </w:rPr>
        <w:t>связи</w:t>
      </w:r>
      <w:proofErr w:type="gramEnd"/>
      <w:r>
        <w:rPr>
          <w:spacing w:val="-2"/>
        </w:rPr>
        <w:t xml:space="preserve"> с чем хотелось бы выразить особую благодарность коллегам!</w:t>
      </w:r>
    </w:p>
    <w:p w:rsidR="0039637A" w:rsidRDefault="0039637A" w:rsidP="0039637A">
      <w:pPr>
        <w:pStyle w:val="af9"/>
        <w:rPr>
          <w:spacing w:val="-2"/>
        </w:rPr>
      </w:pPr>
      <w:r>
        <w:rPr>
          <w:spacing w:val="-2"/>
        </w:rPr>
        <w:t xml:space="preserve">Внедрение в работу Совета новых дистанционных технологий позволило нам сохранить темп проведения методических семинаров и увеличить число участников таких семинаров. И если ранее представители администраций Стрежевого, Кедрового, Александровского, </w:t>
      </w:r>
      <w:proofErr w:type="spellStart"/>
      <w:r>
        <w:rPr>
          <w:spacing w:val="-2"/>
        </w:rPr>
        <w:t>Каргасокского</w:t>
      </w:r>
      <w:proofErr w:type="spellEnd"/>
      <w:r>
        <w:rPr>
          <w:spacing w:val="-2"/>
        </w:rPr>
        <w:t xml:space="preserve">,  </w:t>
      </w:r>
      <w:proofErr w:type="spellStart"/>
      <w:r>
        <w:rPr>
          <w:spacing w:val="-2"/>
        </w:rPr>
        <w:t>Парабельского</w:t>
      </w:r>
      <w:proofErr w:type="spellEnd"/>
      <w:r>
        <w:rPr>
          <w:spacing w:val="-2"/>
        </w:rPr>
        <w:t xml:space="preserve">, </w:t>
      </w:r>
      <w:proofErr w:type="spellStart"/>
      <w:r>
        <w:rPr>
          <w:spacing w:val="-2"/>
        </w:rPr>
        <w:t>Чаинского</w:t>
      </w:r>
      <w:proofErr w:type="spellEnd"/>
      <w:r>
        <w:rPr>
          <w:spacing w:val="-2"/>
        </w:rPr>
        <w:t xml:space="preserve"> районов были редкими гостями на мероприятиях Совета, то сегодня барьер транспортной доступности снят. Например, только в семинаре по вопросам противодействия коррупции приняли участие 13 представителей Александровского района, 9 специалистов из </w:t>
      </w:r>
      <w:proofErr w:type="spellStart"/>
      <w:r>
        <w:rPr>
          <w:spacing w:val="-2"/>
        </w:rPr>
        <w:t>Колпашевского</w:t>
      </w:r>
      <w:proofErr w:type="spellEnd"/>
      <w:r>
        <w:rPr>
          <w:spacing w:val="-2"/>
        </w:rPr>
        <w:t xml:space="preserve"> района. Главы всех поселений </w:t>
      </w:r>
      <w:proofErr w:type="gramStart"/>
      <w:r>
        <w:rPr>
          <w:spacing w:val="-2"/>
        </w:rPr>
        <w:t>Зырянского</w:t>
      </w:r>
      <w:proofErr w:type="gramEnd"/>
      <w:r>
        <w:rPr>
          <w:spacing w:val="-2"/>
        </w:rPr>
        <w:t xml:space="preserve"> и </w:t>
      </w:r>
      <w:proofErr w:type="spellStart"/>
      <w:r>
        <w:rPr>
          <w:spacing w:val="-2"/>
        </w:rPr>
        <w:t>Кривошеинского</w:t>
      </w:r>
      <w:proofErr w:type="spellEnd"/>
      <w:r>
        <w:rPr>
          <w:spacing w:val="-2"/>
        </w:rPr>
        <w:t xml:space="preserve"> районов приняли участие в семинаре по обеспечению жильем детей-сирот. Активными участниками семинаров стали специалисты администрации городского округа Стрежевой. </w:t>
      </w:r>
    </w:p>
    <w:p w:rsidR="0039637A" w:rsidRPr="0039637A" w:rsidRDefault="0039637A" w:rsidP="0039637A">
      <w:pPr>
        <w:autoSpaceDE w:val="0"/>
        <w:autoSpaceDN w:val="0"/>
        <w:adjustRightInd w:val="0"/>
        <w:spacing w:after="0" w:line="288" w:lineRule="auto"/>
        <w:ind w:left="3540" w:firstLine="0"/>
        <w:jc w:val="left"/>
        <w:textAlignment w:val="center"/>
        <w:rPr>
          <w:rFonts w:ascii="Helvetica Light Oblique" w:eastAsiaTheme="minorHAnsi" w:hAnsi="Helvetica Light Oblique" w:cs="Helvetica Light Oblique"/>
          <w:i/>
          <w:iCs/>
          <w:color w:val="3C3C3B"/>
          <w:sz w:val="18"/>
          <w:szCs w:val="18"/>
          <w:lang w:eastAsia="en-US"/>
        </w:rPr>
      </w:pPr>
      <w:r w:rsidRPr="0039637A">
        <w:rPr>
          <w:rFonts w:ascii="Helvetica Light Oblique" w:eastAsiaTheme="minorHAnsi" w:hAnsi="Helvetica Light Oblique" w:cs="Helvetica Light Oblique"/>
          <w:i/>
          <w:iCs/>
          <w:color w:val="3C3C3B"/>
          <w:sz w:val="18"/>
          <w:szCs w:val="18"/>
          <w:lang w:eastAsia="en-US"/>
        </w:rPr>
        <w:t>Всего в течение второго квартала Совет провел 12 онлай</w:t>
      </w:r>
      <w:proofErr w:type="gramStart"/>
      <w:r w:rsidRPr="0039637A">
        <w:rPr>
          <w:rFonts w:ascii="Helvetica Light Oblique" w:eastAsiaTheme="minorHAnsi" w:hAnsi="Helvetica Light Oblique" w:cs="Helvetica Light Oblique"/>
          <w:i/>
          <w:iCs/>
          <w:color w:val="3C3C3B"/>
          <w:sz w:val="18"/>
          <w:szCs w:val="18"/>
          <w:lang w:eastAsia="en-US"/>
        </w:rPr>
        <w:t>н-</w:t>
      </w:r>
      <w:proofErr w:type="gramEnd"/>
      <w:r w:rsidRPr="0039637A">
        <w:rPr>
          <w:rFonts w:ascii="Helvetica Light Oblique" w:eastAsiaTheme="minorHAnsi" w:hAnsi="Helvetica Light Oblique" w:cs="Helvetica Light Oblique"/>
          <w:i/>
          <w:iCs/>
          <w:color w:val="3C3C3B"/>
          <w:sz w:val="18"/>
          <w:szCs w:val="18"/>
          <w:lang w:eastAsia="en-US"/>
        </w:rPr>
        <w:t xml:space="preserve"> мероприятий, из них 3 совещания и 9 семинаров. По скромным подсчетам от муниципалитетов в них приняли участие более 400 слушателей.</w:t>
      </w:r>
    </w:p>
    <w:p w:rsidR="0039637A" w:rsidRPr="0039637A" w:rsidRDefault="0039637A" w:rsidP="0039637A">
      <w:pPr>
        <w:pStyle w:val="af3"/>
        <w:ind w:left="3540"/>
        <w:rPr>
          <w:lang w:val="ru-RU"/>
        </w:rPr>
      </w:pPr>
    </w:p>
    <w:p w:rsidR="003F36F4" w:rsidRDefault="0039637A" w:rsidP="0039637A">
      <w:pPr>
        <w:pStyle w:val="af9"/>
        <w:rPr>
          <w:spacing w:val="-2"/>
        </w:rPr>
      </w:pPr>
      <w:r>
        <w:rPr>
          <w:spacing w:val="-2"/>
        </w:rPr>
        <w:t>Безусловно, такие нововведения и отзывы муниципалов радуют и вдохновляют. Но все же личное общение пока ничем не заменить. Какие-то вещи просто-напросто невозможно передать «по сети». Поэтому в планах Совета — сочетание онлай</w:t>
      </w:r>
      <w:proofErr w:type="gramStart"/>
      <w:r>
        <w:rPr>
          <w:spacing w:val="-2"/>
        </w:rPr>
        <w:t>н-</w:t>
      </w:r>
      <w:proofErr w:type="gramEnd"/>
      <w:r>
        <w:rPr>
          <w:spacing w:val="-2"/>
        </w:rPr>
        <w:t xml:space="preserve"> и традиционной форм работы. Основа для этого уже создана.</w:t>
      </w:r>
    </w:p>
    <w:p w:rsidR="0039637A" w:rsidRDefault="0039637A" w:rsidP="0039637A">
      <w:pPr>
        <w:pStyle w:val="af3"/>
        <w:rPr>
          <w:lang w:val="ru-RU"/>
        </w:rPr>
      </w:pPr>
    </w:p>
    <w:p w:rsidR="0039637A" w:rsidRPr="0039637A" w:rsidRDefault="0039637A" w:rsidP="0039637A">
      <w:pPr>
        <w:autoSpaceDE w:val="0"/>
        <w:autoSpaceDN w:val="0"/>
        <w:adjustRightInd w:val="0"/>
        <w:spacing w:after="0" w:line="288" w:lineRule="auto"/>
        <w:ind w:firstLine="0"/>
        <w:textAlignment w:val="center"/>
        <w:rPr>
          <w:rFonts w:ascii="Roboto Bold" w:eastAsiaTheme="minorHAnsi" w:hAnsi="Roboto Bold" w:cs="Roboto Bold"/>
          <w:b/>
          <w:bCs/>
          <w:caps/>
          <w:color w:val="3C3C3B"/>
          <w:sz w:val="36"/>
          <w:szCs w:val="36"/>
          <w:lang w:eastAsia="en-US"/>
        </w:rPr>
      </w:pPr>
      <w:r w:rsidRPr="0039637A">
        <w:rPr>
          <w:rFonts w:ascii="Roboto Bold" w:eastAsiaTheme="minorHAnsi" w:hAnsi="Roboto Bold" w:cs="Roboto Bold"/>
          <w:b/>
          <w:bCs/>
          <w:caps/>
          <w:color w:val="3C3C3B"/>
          <w:sz w:val="36"/>
          <w:szCs w:val="36"/>
          <w:lang w:eastAsia="en-US"/>
        </w:rPr>
        <w:t xml:space="preserve">ПРАВОТВОРЧЕСКИЕ инициативы </w:t>
      </w:r>
    </w:p>
    <w:p w:rsidR="0039637A" w:rsidRPr="0039637A" w:rsidRDefault="0039637A" w:rsidP="0039637A">
      <w:pPr>
        <w:autoSpaceDE w:val="0"/>
        <w:autoSpaceDN w:val="0"/>
        <w:adjustRightInd w:val="0"/>
        <w:spacing w:after="0" w:line="288" w:lineRule="auto"/>
        <w:ind w:firstLine="0"/>
        <w:textAlignment w:val="center"/>
        <w:rPr>
          <w:rFonts w:ascii="Roboto Bold" w:eastAsiaTheme="minorHAnsi" w:hAnsi="Roboto Bold" w:cs="Roboto Bold"/>
          <w:b/>
          <w:bCs/>
          <w:caps/>
          <w:color w:val="3C3C3B"/>
          <w:sz w:val="36"/>
          <w:szCs w:val="36"/>
          <w:lang w:eastAsia="en-US"/>
        </w:rPr>
      </w:pPr>
      <w:r w:rsidRPr="0039637A">
        <w:rPr>
          <w:rFonts w:ascii="Roboto Bold" w:eastAsiaTheme="minorHAnsi" w:hAnsi="Roboto Bold" w:cs="Roboto Bold"/>
          <w:b/>
          <w:bCs/>
          <w:caps/>
          <w:color w:val="3C3C3B"/>
          <w:sz w:val="36"/>
          <w:szCs w:val="36"/>
          <w:lang w:eastAsia="en-US"/>
        </w:rPr>
        <w:t>или о том, над чем мы работаем</w:t>
      </w:r>
    </w:p>
    <w:p w:rsidR="0039637A" w:rsidRDefault="0039637A" w:rsidP="0039637A">
      <w:pPr>
        <w:suppressAutoHyphens/>
        <w:autoSpaceDE w:val="0"/>
        <w:autoSpaceDN w:val="0"/>
        <w:adjustRightInd w:val="0"/>
        <w:spacing w:after="0" w:line="288" w:lineRule="auto"/>
        <w:ind w:firstLine="0"/>
        <w:jc w:val="left"/>
        <w:textAlignment w:val="center"/>
        <w:rPr>
          <w:rFonts w:eastAsiaTheme="minorHAnsi" w:cs="PT Serif Caption Italic"/>
          <w:i/>
          <w:iCs/>
          <w:color w:val="3C3C3B"/>
          <w:lang w:eastAsia="en-US"/>
        </w:rPr>
      </w:pPr>
      <w:r w:rsidRPr="0039637A">
        <w:rPr>
          <w:rFonts w:ascii="PT Serif Caption Italic" w:eastAsiaTheme="minorHAnsi" w:hAnsi="PT Serif Caption Italic" w:cs="PT Serif Caption Italic"/>
          <w:i/>
          <w:iCs/>
          <w:color w:val="3C3C3B"/>
          <w:lang w:eastAsia="en-US"/>
        </w:rPr>
        <w:t>В настоящее время в работе Совета муниципальных образований Томской области находится порядка 40 правотворческих инициатив, поступивших от муниципальных образований за период с декабря 2019 года по настоящее время.</w:t>
      </w:r>
    </w:p>
    <w:p w:rsidR="0039637A" w:rsidRPr="0039637A" w:rsidRDefault="0039637A" w:rsidP="0039637A">
      <w:pPr>
        <w:suppressAutoHyphens/>
        <w:autoSpaceDE w:val="0"/>
        <w:autoSpaceDN w:val="0"/>
        <w:adjustRightInd w:val="0"/>
        <w:spacing w:after="0" w:line="288" w:lineRule="auto"/>
        <w:ind w:firstLine="0"/>
        <w:jc w:val="left"/>
        <w:textAlignment w:val="center"/>
        <w:rPr>
          <w:rFonts w:eastAsiaTheme="minorHAnsi" w:cs="PT Serif Caption Italic"/>
          <w:i/>
          <w:iCs/>
          <w:color w:val="3C3C3B"/>
          <w:lang w:eastAsia="en-US"/>
        </w:rPr>
      </w:pPr>
    </w:p>
    <w:p w:rsidR="0039637A" w:rsidRDefault="0039637A" w:rsidP="0039637A">
      <w:pPr>
        <w:pStyle w:val="af9"/>
        <w:ind w:firstLine="0"/>
        <w:rPr>
          <w:spacing w:val="-2"/>
        </w:rPr>
      </w:pPr>
      <w:r>
        <w:rPr>
          <w:spacing w:val="-2"/>
        </w:rPr>
        <w:t>Лю</w:t>
      </w:r>
      <w:r>
        <w:rPr>
          <w:spacing w:val="-2"/>
        </w:rPr>
        <w:t xml:space="preserve">бой вопрос требует индивидуального подхода. Где-то необходимо проведение правовой экспертизы, где-то нужно оценить практику </w:t>
      </w:r>
      <w:proofErr w:type="spellStart"/>
      <w:r>
        <w:rPr>
          <w:spacing w:val="-2"/>
        </w:rPr>
        <w:t>правоприменения</w:t>
      </w:r>
      <w:proofErr w:type="spellEnd"/>
      <w:r>
        <w:rPr>
          <w:spacing w:val="-2"/>
        </w:rPr>
        <w:t xml:space="preserve">, собрать дополнительные данные и провести их анализ, где-то проработать детали рабочей группой. Лишь одна процедура неизменна для всех инициатив — выявление общего мнения муниципалитетов. </w:t>
      </w:r>
    </w:p>
    <w:p w:rsidR="0039637A" w:rsidRDefault="0039637A" w:rsidP="0039637A">
      <w:pPr>
        <w:pStyle w:val="af9"/>
        <w:rPr>
          <w:spacing w:val="-2"/>
        </w:rPr>
      </w:pPr>
      <w:r>
        <w:rPr>
          <w:spacing w:val="-2"/>
        </w:rPr>
        <w:t xml:space="preserve">Вот только несколько вопросов второго квартала, по которым муниципалитеты высказали свою позицию. Исполнительной дирекцией по ним также проведено предварительное обсуждение с Департаментом по вопросам </w:t>
      </w:r>
      <w:r>
        <w:rPr>
          <w:spacing w:val="-2"/>
        </w:rPr>
        <w:lastRenderedPageBreak/>
        <w:t>семьи и детей Томской области и Департаментом развития информационного общества Администрации Томской области.</w:t>
      </w:r>
    </w:p>
    <w:p w:rsidR="0039637A" w:rsidRPr="0039637A" w:rsidRDefault="0039637A" w:rsidP="008329B1">
      <w:pPr>
        <w:autoSpaceDE w:val="0"/>
        <w:autoSpaceDN w:val="0"/>
        <w:adjustRightInd w:val="0"/>
        <w:spacing w:after="0" w:line="288" w:lineRule="auto"/>
        <w:ind w:left="4820" w:firstLine="0"/>
        <w:jc w:val="left"/>
        <w:textAlignment w:val="center"/>
        <w:rPr>
          <w:rFonts w:ascii="PT Serif Caption Regular" w:eastAsiaTheme="minorHAnsi" w:hAnsi="PT Serif Caption Regular" w:cs="PT Serif Caption Regular"/>
          <w:color w:val="3C3C3B"/>
          <w:sz w:val="20"/>
          <w:szCs w:val="20"/>
          <w:lang w:eastAsia="en-US"/>
        </w:rPr>
      </w:pPr>
      <w:r w:rsidRPr="0039637A">
        <w:rPr>
          <w:rFonts w:ascii="PT Serif Caption Regular" w:eastAsiaTheme="minorHAnsi" w:hAnsi="PT Serif Caption Regular" w:cs="PT Serif Caption Regular"/>
          <w:color w:val="3C3C3B"/>
          <w:sz w:val="20"/>
          <w:szCs w:val="20"/>
          <w:lang w:eastAsia="en-US"/>
        </w:rPr>
        <w:t>Тематический анализ поступивших инициатив говорит о том, что в настоящее время наибольший удельный вес составляют вопросы социального характера – 20 % от общего числа. Второе место занимают вопросы природопользования – 17%.  Далее следуют инициативы, связанные с организацией местного самоуправления и муниципальной службой –</w:t>
      </w:r>
      <w:bookmarkStart w:id="0" w:name="_GoBack"/>
      <w:bookmarkEnd w:id="0"/>
      <w:r w:rsidRPr="0039637A">
        <w:rPr>
          <w:rFonts w:ascii="PT Serif Caption Regular" w:eastAsiaTheme="minorHAnsi" w:hAnsi="PT Serif Caption Regular" w:cs="PT Serif Caption Regular"/>
          <w:color w:val="3C3C3B"/>
          <w:sz w:val="20"/>
          <w:szCs w:val="20"/>
          <w:lang w:eastAsia="en-US"/>
        </w:rPr>
        <w:t xml:space="preserve"> 14%. </w:t>
      </w:r>
    </w:p>
    <w:p w:rsidR="0039637A" w:rsidRDefault="0039637A" w:rsidP="0039637A">
      <w:pPr>
        <w:pStyle w:val="af3"/>
        <w:ind w:left="3540"/>
        <w:rPr>
          <w:lang w:val="ru-RU"/>
        </w:rPr>
      </w:pPr>
    </w:p>
    <w:p w:rsidR="0039637A" w:rsidRPr="0039637A" w:rsidRDefault="0039637A" w:rsidP="0039637A">
      <w:pPr>
        <w:pStyle w:val="af9"/>
        <w:numPr>
          <w:ilvl w:val="0"/>
          <w:numId w:val="3"/>
        </w:numPr>
        <w:ind w:left="0" w:firstLine="480"/>
        <w:jc w:val="center"/>
        <w:rPr>
          <w:spacing w:val="-4"/>
        </w:rPr>
      </w:pPr>
    </w:p>
    <w:p w:rsidR="0039637A" w:rsidRDefault="0039637A" w:rsidP="0039637A">
      <w:pPr>
        <w:pStyle w:val="af9"/>
        <w:rPr>
          <w:spacing w:val="-4"/>
        </w:rPr>
      </w:pPr>
      <w:r w:rsidRPr="0039637A">
        <w:rPr>
          <w:spacing w:val="-4"/>
        </w:rPr>
        <w:t>Инициатива</w:t>
      </w:r>
      <w:r>
        <w:rPr>
          <w:spacing w:val="-2"/>
        </w:rPr>
        <w:t xml:space="preserve"> о корректировке ста</w:t>
      </w:r>
      <w:r>
        <w:rPr>
          <w:spacing w:val="-4"/>
        </w:rPr>
        <w:t xml:space="preserve">тьи 77 Семейного кодекса Российской Федерации. Инициатор: Администрация </w:t>
      </w:r>
      <w:proofErr w:type="spellStart"/>
      <w:r>
        <w:rPr>
          <w:spacing w:val="-4"/>
        </w:rPr>
        <w:t>Каргасокского</w:t>
      </w:r>
      <w:proofErr w:type="spellEnd"/>
      <w:r>
        <w:rPr>
          <w:spacing w:val="-4"/>
        </w:rPr>
        <w:t xml:space="preserve"> района. </w:t>
      </w:r>
    </w:p>
    <w:p w:rsidR="0039637A" w:rsidRDefault="0039637A" w:rsidP="0039637A">
      <w:pPr>
        <w:pStyle w:val="af9"/>
        <w:rPr>
          <w:spacing w:val="-4"/>
        </w:rPr>
      </w:pPr>
      <w:r>
        <w:rPr>
          <w:spacing w:val="-4"/>
        </w:rPr>
        <w:t xml:space="preserve">Отобрание ребенка из семьи всегда очень болезненная и крайняя мера. Применить ее возможно только тогда, когда существует непосредственная угроза жизни ребенка или его здоровью. </w:t>
      </w:r>
    </w:p>
    <w:p w:rsidR="0039637A" w:rsidRDefault="0039637A" w:rsidP="0039637A">
      <w:pPr>
        <w:pStyle w:val="af9"/>
        <w:rPr>
          <w:spacing w:val="-4"/>
        </w:rPr>
      </w:pPr>
      <w:r>
        <w:rPr>
          <w:spacing w:val="-4"/>
        </w:rPr>
        <w:t>При этом</w:t>
      </w:r>
      <w:proofErr w:type="gramStart"/>
      <w:r>
        <w:rPr>
          <w:spacing w:val="-4"/>
        </w:rPr>
        <w:t>,</w:t>
      </w:r>
      <w:proofErr w:type="gramEnd"/>
      <w:r>
        <w:rPr>
          <w:spacing w:val="-4"/>
        </w:rPr>
        <w:t xml:space="preserve"> согласно статьи 77 Семейного кодекса в случае, если законом субъекта РФ органы местного самоуправления наделены полномочиями по опеке и попечительству, отобрание ребенка производится органом опеки на основании акта главы муниципального образования.</w:t>
      </w:r>
    </w:p>
    <w:p w:rsidR="0039637A" w:rsidRDefault="0039637A" w:rsidP="0039637A">
      <w:pPr>
        <w:pStyle w:val="af9"/>
        <w:rPr>
          <w:spacing w:val="-4"/>
        </w:rPr>
      </w:pPr>
      <w:r>
        <w:rPr>
          <w:spacing w:val="-4"/>
        </w:rPr>
        <w:t xml:space="preserve">По мнению инициатора, требуется корректировка данного порядка, когда, с одной стороны, специалисту органа опеки необходимо совершить немедленные действия по отобранию ребенка, чтобы защитить его жизнь и здоровье, а с другой стороны сделать это можно только на основании  акта, изданного главой муниципального образования.  </w:t>
      </w:r>
    </w:p>
    <w:p w:rsidR="0039637A" w:rsidRDefault="0039637A" w:rsidP="0039637A">
      <w:pPr>
        <w:pStyle w:val="af9"/>
        <w:rPr>
          <w:spacing w:val="-4"/>
        </w:rPr>
      </w:pPr>
      <w:r>
        <w:rPr>
          <w:spacing w:val="-4"/>
        </w:rPr>
        <w:t xml:space="preserve">Проведенный в июне мониторинг показал, что позиция органов местного самоуправления по представленной инициативе разделилась практически 50 на 50. </w:t>
      </w:r>
    </w:p>
    <w:p w:rsidR="0039637A" w:rsidRDefault="0039637A" w:rsidP="0039637A">
      <w:pPr>
        <w:pStyle w:val="af9"/>
        <w:rPr>
          <w:spacing w:val="-4"/>
        </w:rPr>
      </w:pPr>
      <w:r>
        <w:rPr>
          <w:spacing w:val="-4"/>
        </w:rPr>
        <w:t xml:space="preserve">Те, кто высказался за сохранение существующего порядка, ссылаются на то, что такое ответственное решение, которое принимается в исключительных случаях, может быть принято только главой муниципального образования, как руководителем органа опеки и попечительства, поскольку соответствующими отдельными государственными полномочиями наделяются местные администрации. </w:t>
      </w:r>
    </w:p>
    <w:p w:rsidR="0039637A" w:rsidRDefault="0039637A" w:rsidP="0039637A">
      <w:pPr>
        <w:pStyle w:val="af9"/>
        <w:rPr>
          <w:spacing w:val="-4"/>
        </w:rPr>
      </w:pPr>
      <w:r>
        <w:rPr>
          <w:spacing w:val="-4"/>
        </w:rPr>
        <w:t xml:space="preserve">Муниципалитеты, поддержавшие инициативу, отмечают, что специалист опеки, выезжая в семью, заранее не знает всех обстоятельств, и решение  принимается уже на месте исходя из совокупности факторов. Немедленное издание акта главой муниципального образования об отобрании ребенка весьма затруднительно. Предлагается предусмотреть  процедуру временного изъятия ребенка из семьи, для того чтобы иметь возможность принять более взвешенное решение, возможно, специально созданной комиссией. </w:t>
      </w:r>
    </w:p>
    <w:p w:rsidR="0039637A" w:rsidRDefault="0039637A" w:rsidP="0039637A">
      <w:pPr>
        <w:pStyle w:val="af9"/>
        <w:rPr>
          <w:spacing w:val="-4"/>
        </w:rPr>
      </w:pPr>
      <w:r>
        <w:rPr>
          <w:spacing w:val="-4"/>
        </w:rPr>
        <w:t xml:space="preserve">Кроме того, в ходе мониторинга выявился ряд вопросов, которые также требуют дополнительного обсуждения. Так, например, в законодательстве отсутствует четкий механизм отобрания ребенка, а также порядок взаимодействия с другими уполномоченными органами, в том числе, с органами полиции и здравоохранения. Требуется  конкретизация понятия «непосредственная угроза жизни ребенка», а также разграничение данного понятия  и понятия «угроза жизни или здоровью» в целях </w:t>
      </w:r>
      <w:proofErr w:type="gramStart"/>
      <w:r>
        <w:rPr>
          <w:spacing w:val="-4"/>
        </w:rPr>
        <w:t>повышения уровня защиты прав детей</w:t>
      </w:r>
      <w:proofErr w:type="gramEnd"/>
      <w:r>
        <w:rPr>
          <w:spacing w:val="-4"/>
        </w:rPr>
        <w:t xml:space="preserve"> и минимизации субъективных проявлений со стороны специалистов органов опеки.</w:t>
      </w:r>
    </w:p>
    <w:p w:rsidR="0039637A" w:rsidRPr="0039637A" w:rsidRDefault="0039637A" w:rsidP="008329B1">
      <w:pPr>
        <w:autoSpaceDE w:val="0"/>
        <w:autoSpaceDN w:val="0"/>
        <w:adjustRightInd w:val="0"/>
        <w:spacing w:after="0" w:line="288" w:lineRule="auto"/>
        <w:ind w:left="4536" w:firstLine="0"/>
        <w:jc w:val="left"/>
        <w:textAlignment w:val="center"/>
        <w:rPr>
          <w:rFonts w:ascii="Helvetica Light Oblique" w:eastAsiaTheme="minorHAnsi" w:hAnsi="Helvetica Light Oblique" w:cs="Helvetica Light Oblique"/>
          <w:i/>
          <w:iCs/>
          <w:color w:val="3C3C3B"/>
          <w:sz w:val="18"/>
          <w:szCs w:val="18"/>
          <w:lang w:eastAsia="en-US"/>
        </w:rPr>
      </w:pPr>
      <w:r w:rsidRPr="0039637A">
        <w:rPr>
          <w:rFonts w:ascii="Helvetica Light Oblique" w:eastAsiaTheme="minorHAnsi" w:hAnsi="Helvetica Light Oblique" w:cs="Helvetica Light Oblique"/>
          <w:i/>
          <w:iCs/>
          <w:color w:val="3C3C3B"/>
          <w:sz w:val="18"/>
          <w:szCs w:val="18"/>
          <w:lang w:eastAsia="en-US"/>
        </w:rPr>
        <w:t>В 2019 году численность отобранных детей в Томской области существенно сократилась. Если в 2017 и 2018 году этот показатель достигал 44 и 49 детей соответственно, то в 2019 году – 19.</w:t>
      </w:r>
    </w:p>
    <w:p w:rsidR="0039637A" w:rsidRPr="0039637A" w:rsidRDefault="0039637A" w:rsidP="008329B1">
      <w:pPr>
        <w:pStyle w:val="af3"/>
        <w:ind w:left="4536"/>
        <w:rPr>
          <w:lang w:val="ru-RU"/>
        </w:rPr>
      </w:pPr>
    </w:p>
    <w:p w:rsidR="0039637A" w:rsidRDefault="0039637A" w:rsidP="0039637A">
      <w:pPr>
        <w:pStyle w:val="af9"/>
      </w:pPr>
      <w:r>
        <w:t xml:space="preserve">Сегодня в 77-й статье Семейного кодекса РФ закреплена обязанность органа опеки и попечительства в течение семи дней после вынесения акта об отобрании ребенка </w:t>
      </w:r>
      <w:proofErr w:type="gramStart"/>
      <w:r>
        <w:t>обратиться</w:t>
      </w:r>
      <w:proofErr w:type="gramEnd"/>
      <w:r>
        <w:t xml:space="preserve"> в суд с иском о лишении родителей родительских прав или об ограничении их родительских прав, однако не отражены правовые основания работы по сохранению семьи. В большинстве своем муниципалитеты высказались за изменение процедуры отобрания ребенка таким образом, чтобы нормы закона были максимально направлены на сохранение кровной семьи.</w:t>
      </w:r>
    </w:p>
    <w:p w:rsidR="0039637A" w:rsidRDefault="0039637A" w:rsidP="0039637A">
      <w:pPr>
        <w:pStyle w:val="af9"/>
      </w:pPr>
      <w:r>
        <w:t>Учитывая, что предлагаемые изменения получили неоднозначную оценку и были внесены дополнительные предложения,  данной инициативе предстоит пройти еще не одно обсуждение.</w:t>
      </w:r>
    </w:p>
    <w:p w:rsidR="008329B1" w:rsidRDefault="008329B1" w:rsidP="008329B1">
      <w:pPr>
        <w:pStyle w:val="af3"/>
        <w:rPr>
          <w:lang w:val="ru-RU"/>
        </w:rPr>
      </w:pPr>
    </w:p>
    <w:p w:rsidR="008329B1" w:rsidRDefault="008329B1" w:rsidP="008329B1">
      <w:pPr>
        <w:pStyle w:val="af3"/>
        <w:rPr>
          <w:lang w:val="ru-RU"/>
        </w:rPr>
      </w:pPr>
    </w:p>
    <w:p w:rsidR="008329B1" w:rsidRPr="008329B1" w:rsidRDefault="008329B1" w:rsidP="008329B1">
      <w:pPr>
        <w:pStyle w:val="af3"/>
        <w:rPr>
          <w:lang w:val="ru-RU"/>
        </w:rPr>
      </w:pPr>
    </w:p>
    <w:p w:rsidR="0039637A" w:rsidRPr="0039637A" w:rsidRDefault="0039637A" w:rsidP="0039637A">
      <w:pPr>
        <w:pStyle w:val="af3"/>
        <w:rPr>
          <w:lang w:val="ru-RU"/>
        </w:rPr>
      </w:pPr>
    </w:p>
    <w:p w:rsidR="0039637A" w:rsidRDefault="0039637A" w:rsidP="0039637A">
      <w:pPr>
        <w:pStyle w:val="af9"/>
        <w:ind w:left="294" w:firstLine="0"/>
        <w:jc w:val="center"/>
        <w:rPr>
          <w:spacing w:val="-4"/>
        </w:rPr>
      </w:pPr>
      <w:r w:rsidRPr="0039637A">
        <w:rPr>
          <w:spacing w:val="-4"/>
        </w:rPr>
        <w:t>2.</w:t>
      </w:r>
    </w:p>
    <w:p w:rsidR="0039637A" w:rsidRDefault="0039637A" w:rsidP="0039637A">
      <w:pPr>
        <w:pStyle w:val="af9"/>
        <w:rPr>
          <w:spacing w:val="-4"/>
        </w:rPr>
      </w:pPr>
      <w:r>
        <w:t>И</w:t>
      </w:r>
      <w:r>
        <w:rPr>
          <w:spacing w:val="-4"/>
        </w:rPr>
        <w:t xml:space="preserve">нициатива о корректировке </w:t>
      </w:r>
      <w:proofErr w:type="gramStart"/>
      <w:r>
        <w:rPr>
          <w:spacing w:val="-4"/>
        </w:rPr>
        <w:t>методики определения численности специалистов комиссий</w:t>
      </w:r>
      <w:proofErr w:type="gramEnd"/>
      <w:r>
        <w:rPr>
          <w:spacing w:val="-4"/>
        </w:rPr>
        <w:t xml:space="preserve"> по делам несовершеннолетних и защите их прав, работающих на постоянной основе. Инициаторы: Администрация </w:t>
      </w:r>
      <w:proofErr w:type="spellStart"/>
      <w:r>
        <w:rPr>
          <w:spacing w:val="-4"/>
        </w:rPr>
        <w:t>Чаинского</w:t>
      </w:r>
      <w:proofErr w:type="spellEnd"/>
      <w:r>
        <w:rPr>
          <w:spacing w:val="-4"/>
        </w:rPr>
        <w:t xml:space="preserve"> района и Администрация города Томска.</w:t>
      </w:r>
    </w:p>
    <w:p w:rsidR="0039637A" w:rsidRDefault="0039637A" w:rsidP="0039637A">
      <w:pPr>
        <w:pStyle w:val="af9"/>
        <w:rPr>
          <w:spacing w:val="-4"/>
        </w:rPr>
      </w:pPr>
      <w:r>
        <w:rPr>
          <w:spacing w:val="-4"/>
        </w:rPr>
        <w:t xml:space="preserve">Сегодня в Томской области проживает 226,3 тысяч несовершеннолетних. Органы местного самоуправления областным законом наделены отдельными государственными полномочиями по созданию и обеспечению деятельности комиссий по делам несовершеннолетних и защите их прав. На исполнение данных полномочий в целом по региону предусмотрено 31,5 ставки специалистов КДН.  </w:t>
      </w:r>
    </w:p>
    <w:p w:rsidR="0039637A" w:rsidRDefault="0039637A" w:rsidP="0039637A">
      <w:pPr>
        <w:pStyle w:val="af9"/>
        <w:rPr>
          <w:spacing w:val="-4"/>
        </w:rPr>
      </w:pPr>
      <w:r>
        <w:rPr>
          <w:spacing w:val="-4"/>
        </w:rPr>
        <w:t>Норматив их численности по каждому муниципалитету рассчитывается исходя из численности постоянного населения муниципального образования в возрасте до 18 лет, но не менее одного специалиста.</w:t>
      </w:r>
    </w:p>
    <w:p w:rsidR="0039637A" w:rsidRDefault="0039637A" w:rsidP="0039637A">
      <w:pPr>
        <w:pStyle w:val="af9"/>
        <w:rPr>
          <w:spacing w:val="-4"/>
        </w:rPr>
      </w:pPr>
      <w:r>
        <w:rPr>
          <w:spacing w:val="-4"/>
        </w:rPr>
        <w:t xml:space="preserve">Как отмечают инициаторы, с момента утверждения данной методики существенно изменилась нагрузка специалистов КДН, и сегодня уже недостаточно ресурсов, как временных, так и кадровых, для качественного исполнения возложенных </w:t>
      </w:r>
      <w:proofErr w:type="spellStart"/>
      <w:r>
        <w:rPr>
          <w:spacing w:val="-4"/>
        </w:rPr>
        <w:t>госполномочий</w:t>
      </w:r>
      <w:proofErr w:type="spellEnd"/>
      <w:r>
        <w:rPr>
          <w:spacing w:val="-4"/>
        </w:rPr>
        <w:t xml:space="preserve"> по профилактике и предупреждению безнадзорности, правонарушений и антиобщественных действий среди несовершеннолетних. </w:t>
      </w:r>
    </w:p>
    <w:p w:rsidR="0039637A" w:rsidRDefault="0039637A" w:rsidP="0039637A">
      <w:pPr>
        <w:pStyle w:val="af9"/>
        <w:rPr>
          <w:spacing w:val="-4"/>
        </w:rPr>
      </w:pPr>
      <w:r>
        <w:rPr>
          <w:spacing w:val="-4"/>
        </w:rPr>
        <w:t>Особенную актуальность данный вопрос приобрел в связи с принятием Постановления Правительства РФ от 10.02.2020 № 120 «О внесении изменений в Примерное положение о комиссиях по делам несовершеннолетних и защите их прав», которым расширен перечень полномочий территориальных (муниципальных) комиссий. Соответствующие поправки в мае 2020 года также внесены в областной закон о комиссиях по делам несовершеннолетних.</w:t>
      </w:r>
    </w:p>
    <w:p w:rsidR="0039637A" w:rsidRPr="0039637A" w:rsidRDefault="0039637A" w:rsidP="0039637A">
      <w:pPr>
        <w:pStyle w:val="af9"/>
        <w:rPr>
          <w:spacing w:val="-4"/>
        </w:rPr>
      </w:pPr>
      <w:r w:rsidRPr="0039637A">
        <w:rPr>
          <w:spacing w:val="-4"/>
        </w:rPr>
        <w:t xml:space="preserve">По данной инициативе в мае текущего года Совет провел онлайн-совещание с участием представителей администраций Томского, </w:t>
      </w:r>
      <w:proofErr w:type="spellStart"/>
      <w:r w:rsidRPr="0039637A">
        <w:rPr>
          <w:spacing w:val="-4"/>
        </w:rPr>
        <w:t>Чаинского</w:t>
      </w:r>
      <w:proofErr w:type="spellEnd"/>
      <w:r w:rsidRPr="0039637A">
        <w:rPr>
          <w:spacing w:val="-4"/>
        </w:rPr>
        <w:t xml:space="preserve"> районов, районных администраций города Томска. Кроме того, Исполнительной дирекцией был проведен анализ имеющейся статистической информации и некоторых показателей  деятельности КДН. </w:t>
      </w:r>
    </w:p>
    <w:p w:rsidR="0039637A" w:rsidRPr="0039637A" w:rsidRDefault="0039637A" w:rsidP="0039637A">
      <w:pPr>
        <w:pStyle w:val="af9"/>
        <w:rPr>
          <w:spacing w:val="-4"/>
        </w:rPr>
      </w:pPr>
      <w:r w:rsidRPr="0039637A">
        <w:rPr>
          <w:spacing w:val="-4"/>
        </w:rPr>
        <w:t>Итоги данного анализа показали существенную диспропорцию между объемом работы и количеством специалистов КДН в администрациях Томского района, ЗАТО Северск и, особенно, города Томска, по сравнению с остальными муниципалитетами. Так, например, нагрузка одного  специалиста КДН города Томска на 80% превышает среднюю нагрузку специалиста КДН по региону.</w:t>
      </w:r>
    </w:p>
    <w:p w:rsidR="0039637A" w:rsidRDefault="0039637A" w:rsidP="0039637A">
      <w:pPr>
        <w:pStyle w:val="af9"/>
        <w:rPr>
          <w:spacing w:val="-4"/>
        </w:rPr>
      </w:pPr>
      <w:r w:rsidRPr="0039637A">
        <w:rPr>
          <w:spacing w:val="-4"/>
        </w:rPr>
        <w:t>Результаты этой работы предстоит рассмотреть рабочей группе и сформировать предложения для соответствующей корректировки методики определения  численности специалистов КДН.</w:t>
      </w:r>
    </w:p>
    <w:p w:rsidR="0039637A" w:rsidRDefault="0039637A" w:rsidP="0039637A">
      <w:pPr>
        <w:pStyle w:val="af3"/>
        <w:rPr>
          <w:lang w:val="ru-RU"/>
        </w:rPr>
      </w:pPr>
    </w:p>
    <w:p w:rsidR="0039637A" w:rsidRDefault="0039637A" w:rsidP="0039637A">
      <w:pPr>
        <w:pStyle w:val="af9"/>
        <w:ind w:left="294" w:firstLine="0"/>
        <w:jc w:val="center"/>
      </w:pPr>
      <w:r>
        <w:t>3.</w:t>
      </w:r>
    </w:p>
    <w:p w:rsidR="0039637A" w:rsidRDefault="0039637A" w:rsidP="0039637A">
      <w:pPr>
        <w:pStyle w:val="af9"/>
        <w:rPr>
          <w:spacing w:val="-2"/>
        </w:rPr>
      </w:pPr>
      <w:r>
        <w:t>И</w:t>
      </w:r>
      <w:r>
        <w:rPr>
          <w:spacing w:val="-2"/>
        </w:rPr>
        <w:t>нициатива об организации перехода органов местного самоуправления Томской области на использование отечественного программного обеспечения (</w:t>
      </w:r>
      <w:proofErr w:type="gramStart"/>
      <w:r>
        <w:rPr>
          <w:spacing w:val="-2"/>
        </w:rPr>
        <w:t>ПО</w:t>
      </w:r>
      <w:proofErr w:type="gramEnd"/>
      <w:r>
        <w:rPr>
          <w:spacing w:val="-2"/>
        </w:rPr>
        <w:t xml:space="preserve">). Инициаторы: Администрации </w:t>
      </w:r>
      <w:proofErr w:type="spellStart"/>
      <w:r>
        <w:rPr>
          <w:spacing w:val="-2"/>
        </w:rPr>
        <w:t>Верхнекетского</w:t>
      </w:r>
      <w:proofErr w:type="spellEnd"/>
      <w:r>
        <w:rPr>
          <w:spacing w:val="-2"/>
        </w:rPr>
        <w:t xml:space="preserve"> и  </w:t>
      </w:r>
      <w:proofErr w:type="spellStart"/>
      <w:r>
        <w:rPr>
          <w:spacing w:val="-2"/>
        </w:rPr>
        <w:t>Колпашевского</w:t>
      </w:r>
      <w:proofErr w:type="spellEnd"/>
      <w:r>
        <w:rPr>
          <w:spacing w:val="-2"/>
        </w:rPr>
        <w:t xml:space="preserve"> районов. </w:t>
      </w:r>
    </w:p>
    <w:p w:rsidR="0039637A" w:rsidRDefault="0039637A" w:rsidP="0039637A">
      <w:pPr>
        <w:pStyle w:val="af9"/>
        <w:rPr>
          <w:spacing w:val="-2"/>
        </w:rPr>
      </w:pPr>
      <w:r>
        <w:t>С</w:t>
      </w:r>
      <w:r>
        <w:rPr>
          <w:spacing w:val="-2"/>
        </w:rPr>
        <w:t xml:space="preserve">разу оговоримся, что переход на отечественное программное обеспечение — это генеральная линия государственной политики в области информационных технологий с целью формирования национального информационно-технологического суверенитета России. </w:t>
      </w:r>
    </w:p>
    <w:p w:rsidR="0039637A" w:rsidRDefault="0039637A" w:rsidP="0039637A">
      <w:pPr>
        <w:pStyle w:val="af9"/>
        <w:rPr>
          <w:spacing w:val="-2"/>
        </w:rPr>
      </w:pPr>
      <w:r>
        <w:rPr>
          <w:spacing w:val="-2"/>
        </w:rPr>
        <w:t xml:space="preserve">Так, Постановлением Правительства РФ от 16.11.2015 № 1236 установлен запрет на закупку иностранного программного обеспечения для государственных и муниципальных нужд. </w:t>
      </w:r>
    </w:p>
    <w:p w:rsidR="0039637A" w:rsidRDefault="0039637A" w:rsidP="0039637A">
      <w:pPr>
        <w:pStyle w:val="af9"/>
        <w:rPr>
          <w:spacing w:val="-2"/>
        </w:rPr>
      </w:pPr>
      <w:r>
        <w:rPr>
          <w:spacing w:val="-2"/>
        </w:rPr>
        <w:t xml:space="preserve">Приказом </w:t>
      </w:r>
      <w:proofErr w:type="spellStart"/>
      <w:r>
        <w:rPr>
          <w:spacing w:val="-2"/>
        </w:rPr>
        <w:t>Минкомсвязи</w:t>
      </w:r>
      <w:proofErr w:type="spellEnd"/>
      <w:r>
        <w:rPr>
          <w:spacing w:val="-2"/>
        </w:rPr>
        <w:t xml:space="preserve"> России от 04.07.2018 № 33 утверждены методические рекомендации по переходу органов власти на использование </w:t>
      </w:r>
      <w:proofErr w:type="gramStart"/>
      <w:r>
        <w:rPr>
          <w:spacing w:val="-2"/>
        </w:rPr>
        <w:t>отечественного</w:t>
      </w:r>
      <w:proofErr w:type="gramEnd"/>
      <w:r>
        <w:rPr>
          <w:spacing w:val="-2"/>
        </w:rPr>
        <w:t xml:space="preserve"> офисного ПО. </w:t>
      </w:r>
    </w:p>
    <w:p w:rsidR="0039637A" w:rsidRDefault="0039637A" w:rsidP="0039637A">
      <w:pPr>
        <w:pStyle w:val="af9"/>
        <w:rPr>
          <w:spacing w:val="-2"/>
        </w:rPr>
      </w:pPr>
      <w:r>
        <w:rPr>
          <w:spacing w:val="-2"/>
        </w:rPr>
        <w:t xml:space="preserve">Этим же приказом установлены показатели для перехода органов местного самоуправления и их подведомственных организаций на период к 2020 году: операционные системы — 50%, офисные пакеты — 60%, почтовые приложения — 60%, антивирусы — 100%, браузеры — 50%, справочно-правовые системы — 100%, СЭД —100%. </w:t>
      </w:r>
    </w:p>
    <w:p w:rsidR="0039637A" w:rsidRDefault="0039637A" w:rsidP="0039637A">
      <w:pPr>
        <w:pStyle w:val="af9"/>
        <w:rPr>
          <w:spacing w:val="-2"/>
        </w:rPr>
      </w:pPr>
      <w:r>
        <w:rPr>
          <w:spacing w:val="-2"/>
        </w:rPr>
        <w:t>На сегодняшний день в муниципалитетах не достигнуты показатели по внедрению операционных систем, офисных пакетов и почтовых приложений.</w:t>
      </w:r>
    </w:p>
    <w:p w:rsidR="0039637A" w:rsidRDefault="0039637A" w:rsidP="0039637A">
      <w:pPr>
        <w:pStyle w:val="af9"/>
      </w:pPr>
      <w:r>
        <w:t xml:space="preserve">Перечень проблемных вопросов, которые препятствуют переходу органов местного самоуправления на </w:t>
      </w:r>
      <w:proofErr w:type="gramStart"/>
      <w:r>
        <w:t>отечественное</w:t>
      </w:r>
      <w:proofErr w:type="gramEnd"/>
      <w:r>
        <w:t xml:space="preserve"> ПО,  Исполнительной дирекцией был сформирован совместно с муниципалитетами. В частности, отмечается необходимость приобретения новых лицензий, а также необходимость нести расходы на обновление </w:t>
      </w:r>
      <w:r>
        <w:lastRenderedPageBreak/>
        <w:t xml:space="preserve">компьютерного оборудования; несовместимость некоторого, даже нового, оборудования с   </w:t>
      </w:r>
      <w:proofErr w:type="gramStart"/>
      <w:r>
        <w:t>отечественным</w:t>
      </w:r>
      <w:proofErr w:type="gramEnd"/>
      <w:r>
        <w:t xml:space="preserve"> ПО; отсутствие по ряду категорий конкурентных отечественных решений.  </w:t>
      </w:r>
    </w:p>
    <w:p w:rsidR="0039637A" w:rsidRDefault="0039637A" w:rsidP="0039637A">
      <w:pPr>
        <w:pStyle w:val="af9"/>
      </w:pPr>
      <w:r>
        <w:t xml:space="preserve">В числе основных сдерживающих факторов миграции на отечественное программное обеспечение была названа зависимость </w:t>
      </w:r>
      <w:proofErr w:type="gramStart"/>
      <w:r>
        <w:t>прикладного</w:t>
      </w:r>
      <w:proofErr w:type="gramEnd"/>
      <w:r>
        <w:t xml:space="preserve"> ПО государственных и ведомственных информационных систем от </w:t>
      </w:r>
      <w:proofErr w:type="spellStart"/>
      <w:r>
        <w:t>Windows</w:t>
      </w:r>
      <w:proofErr w:type="spellEnd"/>
      <w:r>
        <w:t xml:space="preserve">-технологий. </w:t>
      </w:r>
    </w:p>
    <w:p w:rsidR="0039637A" w:rsidRDefault="0039637A" w:rsidP="0039637A">
      <w:pPr>
        <w:pStyle w:val="af9"/>
      </w:pPr>
      <w:r>
        <w:t xml:space="preserve">На этот и другие вопросы, поступившие от муниципалитетов, </w:t>
      </w:r>
      <w:r>
        <w:rPr>
          <w:spacing w:val="-2"/>
        </w:rPr>
        <w:t>Департаментом развития информационного общества</w:t>
      </w:r>
      <w:r>
        <w:t xml:space="preserve"> даны исчерпывающие рекомендации, которые будут направлены в органы местного самоуправления. </w:t>
      </w:r>
    </w:p>
    <w:p w:rsidR="0039637A" w:rsidRDefault="0039637A" w:rsidP="0039637A">
      <w:pPr>
        <w:pStyle w:val="af9"/>
      </w:pPr>
      <w:r>
        <w:t xml:space="preserve">Так, например, отмечается, что интерфейс отечественного </w:t>
      </w:r>
      <w:proofErr w:type="gramStart"/>
      <w:r>
        <w:t>ПО</w:t>
      </w:r>
      <w:proofErr w:type="gramEnd"/>
      <w:r>
        <w:t xml:space="preserve"> почти не отличается </w:t>
      </w:r>
      <w:proofErr w:type="gramStart"/>
      <w:r>
        <w:t>от</w:t>
      </w:r>
      <w:proofErr w:type="gramEnd"/>
      <w:r>
        <w:t xml:space="preserve"> привычных операционных систем </w:t>
      </w:r>
      <w:proofErr w:type="spellStart"/>
      <w:r>
        <w:t>Microsoft</w:t>
      </w:r>
      <w:proofErr w:type="spellEnd"/>
      <w:r>
        <w:t xml:space="preserve"> </w:t>
      </w:r>
      <w:proofErr w:type="spellStart"/>
      <w:r>
        <w:t>Windows</w:t>
      </w:r>
      <w:proofErr w:type="spellEnd"/>
      <w:r>
        <w:t xml:space="preserve"> — это те же окна и контекстные меню. Придется лишь привыкнуть к другой группировке команд и расположению кнопок на панелях управления.</w:t>
      </w:r>
    </w:p>
    <w:p w:rsidR="0039637A" w:rsidRDefault="0039637A" w:rsidP="0039637A">
      <w:pPr>
        <w:pStyle w:val="af9"/>
      </w:pPr>
      <w:r>
        <w:t xml:space="preserve">Для ознакомления пользователей с интерфейсом операционной системы </w:t>
      </w:r>
      <w:proofErr w:type="spellStart"/>
      <w:r>
        <w:t>AstraLinux</w:t>
      </w:r>
      <w:proofErr w:type="spellEnd"/>
      <w:r>
        <w:t xml:space="preserve"> и офисным пакетом Р7-офис по заказу Администрации Томской области созданы видеоролики, которые размещены по адресу: https://intra.gov70.ru/about/network.php?ID=998</w:t>
      </w:r>
    </w:p>
    <w:p w:rsidR="0039637A" w:rsidRDefault="0039637A" w:rsidP="0039637A">
      <w:pPr>
        <w:pStyle w:val="af9"/>
      </w:pPr>
      <w:r>
        <w:t xml:space="preserve">Кроме того, все операционные системы доступны для скачивания без каких либо ограничений. </w:t>
      </w:r>
    </w:p>
    <w:p w:rsidR="0039637A" w:rsidRDefault="0039637A" w:rsidP="0039637A">
      <w:pPr>
        <w:pStyle w:val="af9"/>
      </w:pPr>
      <w:r>
        <w:t>Однако стоит отдельно отметить, что, по мнению Департамента, существенно изменятся технологии по системному администрированию и техническому обслуживанию парка техники. В связи с этим необходимо обучение системных администраторов и инженеров навыкам настройки отечественных операционных систем. Такие курсы можно найти на базе вузов Томска, а часть курсов можно пройти дистанционно.</w:t>
      </w:r>
    </w:p>
    <w:p w:rsidR="0039637A" w:rsidRDefault="0039637A" w:rsidP="0039637A">
      <w:pPr>
        <w:pStyle w:val="af9"/>
      </w:pPr>
      <w:r w:rsidRPr="0039637A">
        <w:t xml:space="preserve">Следующим этапом нашей работы станет обсуждение предложений, высказанных муниципалитетами в ходе мониторинга, в том числе о возможности проведения укрупненных или совместных закупок программного обеспечения для муниципальных нужд, а также оказание методической помощи при подготовке соответствующих технических заданий, проведение семинаров для </w:t>
      </w:r>
      <w:r>
        <w:t>IT</w:t>
      </w:r>
      <w:r w:rsidRPr="0039637A">
        <w:t>-специалистов местных администраций.</w:t>
      </w:r>
    </w:p>
    <w:p w:rsidR="008D27B0" w:rsidRPr="008D27B0" w:rsidRDefault="008D27B0" w:rsidP="008D27B0">
      <w:pPr>
        <w:autoSpaceDE w:val="0"/>
        <w:autoSpaceDN w:val="0"/>
        <w:adjustRightInd w:val="0"/>
        <w:spacing w:after="0" w:line="288" w:lineRule="auto"/>
        <w:ind w:left="3540" w:firstLine="0"/>
        <w:jc w:val="left"/>
        <w:textAlignment w:val="center"/>
        <w:rPr>
          <w:rFonts w:ascii="Helvetica Light Oblique" w:eastAsiaTheme="minorHAnsi" w:hAnsi="Helvetica Light Oblique" w:cs="Helvetica Light Oblique"/>
          <w:i/>
          <w:iCs/>
          <w:color w:val="3C3C3B"/>
          <w:sz w:val="18"/>
          <w:szCs w:val="18"/>
          <w:lang w:eastAsia="en-US"/>
        </w:rPr>
      </w:pPr>
      <w:r w:rsidRPr="008D27B0">
        <w:rPr>
          <w:rFonts w:ascii="Helvetica Light Oblique" w:eastAsiaTheme="minorHAnsi" w:hAnsi="Helvetica Light Oblique" w:cs="Helvetica Light Oblique"/>
          <w:i/>
          <w:iCs/>
          <w:color w:val="3C3C3B"/>
          <w:sz w:val="18"/>
          <w:szCs w:val="18"/>
          <w:lang w:eastAsia="en-US"/>
        </w:rPr>
        <w:t xml:space="preserve">Комплект программ, который планирует использовать Администрация Томской области (операционная система </w:t>
      </w:r>
      <w:proofErr w:type="spellStart"/>
      <w:r w:rsidRPr="008D27B0">
        <w:rPr>
          <w:rFonts w:ascii="Helvetica Light Oblique" w:eastAsiaTheme="minorHAnsi" w:hAnsi="Helvetica Light Oblique" w:cs="Helvetica Light Oblique"/>
          <w:i/>
          <w:iCs/>
          <w:color w:val="3C3C3B"/>
          <w:sz w:val="18"/>
          <w:szCs w:val="18"/>
          <w:lang w:eastAsia="en-US"/>
        </w:rPr>
        <w:t>Astra</w:t>
      </w:r>
      <w:proofErr w:type="spellEnd"/>
      <w:r w:rsidRPr="008D27B0">
        <w:rPr>
          <w:rFonts w:ascii="Helvetica Light Oblique" w:eastAsiaTheme="minorHAnsi" w:hAnsi="Helvetica Light Oblique" w:cs="Helvetica Light Oblique"/>
          <w:i/>
          <w:iCs/>
          <w:color w:val="3C3C3B"/>
          <w:sz w:val="18"/>
          <w:szCs w:val="18"/>
          <w:lang w:eastAsia="en-US"/>
        </w:rPr>
        <w:t xml:space="preserve"> </w:t>
      </w:r>
      <w:proofErr w:type="spellStart"/>
      <w:r w:rsidRPr="008D27B0">
        <w:rPr>
          <w:rFonts w:ascii="Helvetica Light Oblique" w:eastAsiaTheme="minorHAnsi" w:hAnsi="Helvetica Light Oblique" w:cs="Helvetica Light Oblique"/>
          <w:i/>
          <w:iCs/>
          <w:color w:val="3C3C3B"/>
          <w:sz w:val="18"/>
          <w:szCs w:val="18"/>
          <w:lang w:eastAsia="en-US"/>
        </w:rPr>
        <w:t>Linux</w:t>
      </w:r>
      <w:proofErr w:type="spellEnd"/>
      <w:r w:rsidRPr="008D27B0">
        <w:rPr>
          <w:rFonts w:ascii="Helvetica Light Oblique" w:eastAsiaTheme="minorHAnsi" w:hAnsi="Helvetica Light Oblique" w:cs="Helvetica Light Oblique"/>
          <w:i/>
          <w:iCs/>
          <w:color w:val="3C3C3B"/>
          <w:sz w:val="18"/>
          <w:szCs w:val="18"/>
          <w:lang w:eastAsia="en-US"/>
        </w:rPr>
        <w:t>, R7-office и прочие бесплатные программы) доступны для скачивания по ссылке http://mirror.gov70.ru/ATO/</w:t>
      </w:r>
    </w:p>
    <w:p w:rsidR="008D27B0" w:rsidRPr="008D27B0" w:rsidRDefault="008D27B0" w:rsidP="008D27B0">
      <w:pPr>
        <w:autoSpaceDE w:val="0"/>
        <w:autoSpaceDN w:val="0"/>
        <w:adjustRightInd w:val="0"/>
        <w:spacing w:after="0" w:line="288" w:lineRule="auto"/>
        <w:ind w:left="3540" w:firstLine="0"/>
        <w:jc w:val="left"/>
        <w:textAlignment w:val="center"/>
        <w:rPr>
          <w:rFonts w:ascii="Helvetica Light Oblique" w:eastAsiaTheme="minorHAnsi" w:hAnsi="Helvetica Light Oblique" w:cs="Helvetica Light Oblique"/>
          <w:i/>
          <w:iCs/>
          <w:color w:val="3C3C3B"/>
          <w:sz w:val="18"/>
          <w:szCs w:val="18"/>
          <w:lang w:eastAsia="en-US"/>
        </w:rPr>
      </w:pPr>
      <w:r w:rsidRPr="008D27B0">
        <w:rPr>
          <w:rFonts w:ascii="Helvetica Light Oblique" w:eastAsiaTheme="minorHAnsi" w:hAnsi="Helvetica Light Oblique" w:cs="Helvetica Light Oblique"/>
          <w:i/>
          <w:iCs/>
          <w:color w:val="3C3C3B"/>
          <w:sz w:val="18"/>
          <w:szCs w:val="18"/>
          <w:lang w:eastAsia="en-US"/>
        </w:rPr>
        <w:t xml:space="preserve">Операционная система </w:t>
      </w:r>
      <w:proofErr w:type="spellStart"/>
      <w:r w:rsidRPr="008D27B0">
        <w:rPr>
          <w:rFonts w:ascii="Helvetica Light Oblique" w:eastAsiaTheme="minorHAnsi" w:hAnsi="Helvetica Light Oblique" w:cs="Helvetica Light Oblique"/>
          <w:i/>
          <w:iCs/>
          <w:color w:val="3C3C3B"/>
          <w:sz w:val="18"/>
          <w:szCs w:val="18"/>
          <w:lang w:eastAsia="en-US"/>
        </w:rPr>
        <w:t>Astralinux</w:t>
      </w:r>
      <w:proofErr w:type="spellEnd"/>
      <w:r w:rsidRPr="008D27B0">
        <w:rPr>
          <w:rFonts w:ascii="Helvetica Light Oblique" w:eastAsiaTheme="minorHAnsi" w:hAnsi="Helvetica Light Oblique" w:cs="Helvetica Light Oblique"/>
          <w:i/>
          <w:iCs/>
          <w:color w:val="3C3C3B"/>
          <w:sz w:val="18"/>
          <w:szCs w:val="18"/>
          <w:lang w:eastAsia="en-US"/>
        </w:rPr>
        <w:t xml:space="preserve"> — на сайте https://astralinux.ru</w:t>
      </w:r>
    </w:p>
    <w:p w:rsidR="008D27B0" w:rsidRPr="008D27B0" w:rsidRDefault="008D27B0" w:rsidP="008D27B0">
      <w:pPr>
        <w:autoSpaceDE w:val="0"/>
        <w:autoSpaceDN w:val="0"/>
        <w:adjustRightInd w:val="0"/>
        <w:spacing w:after="0" w:line="288" w:lineRule="auto"/>
        <w:ind w:left="3540" w:firstLine="0"/>
        <w:jc w:val="left"/>
        <w:textAlignment w:val="center"/>
        <w:rPr>
          <w:rFonts w:ascii="Helvetica Light Oblique" w:eastAsiaTheme="minorHAnsi" w:hAnsi="Helvetica Light Oblique" w:cs="Helvetica Light Oblique"/>
          <w:i/>
          <w:iCs/>
          <w:color w:val="3C3C3B"/>
          <w:sz w:val="18"/>
          <w:szCs w:val="18"/>
          <w:lang w:eastAsia="en-US"/>
        </w:rPr>
      </w:pPr>
      <w:r w:rsidRPr="008D27B0">
        <w:rPr>
          <w:rFonts w:ascii="Helvetica Light Oblique" w:eastAsiaTheme="minorHAnsi" w:hAnsi="Helvetica Light Oblique" w:cs="Helvetica Light Oblique"/>
          <w:i/>
          <w:iCs/>
          <w:color w:val="3C3C3B"/>
          <w:sz w:val="18"/>
          <w:szCs w:val="18"/>
          <w:lang w:eastAsia="en-US"/>
        </w:rPr>
        <w:t xml:space="preserve">Офисный пакет Р7-офис </w:t>
      </w:r>
    </w:p>
    <w:p w:rsidR="008D27B0" w:rsidRPr="008D27B0" w:rsidRDefault="008D27B0" w:rsidP="008D27B0">
      <w:pPr>
        <w:pStyle w:val="af3"/>
        <w:ind w:left="3540"/>
        <w:rPr>
          <w:lang w:val="ru-RU"/>
        </w:rPr>
      </w:pPr>
      <w:r w:rsidRPr="008D27B0">
        <w:rPr>
          <w:rFonts w:ascii="Helvetica Light Oblique" w:hAnsi="Helvetica Light Oblique" w:cs="Helvetica Light Oblique"/>
          <w:i/>
          <w:iCs/>
          <w:color w:val="3C3C3B"/>
          <w:sz w:val="18"/>
          <w:szCs w:val="18"/>
          <w:lang w:val="ru-RU"/>
        </w:rPr>
        <w:t>— на сайте https://www.r7-office.ru</w:t>
      </w:r>
    </w:p>
    <w:sectPr w:rsidR="008D27B0" w:rsidRPr="008D27B0"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E7" w:rsidRDefault="000E6FE7" w:rsidP="002868CF">
      <w:r>
        <w:separator/>
      </w:r>
    </w:p>
  </w:endnote>
  <w:endnote w:type="continuationSeparator" w:id="0">
    <w:p w:rsidR="000E6FE7" w:rsidRDefault="000E6FE7"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charset w:val="CC"/>
    <w:family w:val="auto"/>
    <w:pitch w:val="variable"/>
    <w:sig w:usb0="E00002EF" w:usb1="5000205B" w:usb2="00000020" w:usb3="00000000" w:csb0="0000019F" w:csb1="00000000"/>
  </w:font>
  <w:font w:name="Roboto">
    <w:altName w:val="Times New Roman"/>
    <w:charset w:val="CC"/>
    <w:family w:val="auto"/>
    <w:pitch w:val="variable"/>
    <w:sig w:usb0="00000001" w:usb1="5000205B" w:usb2="00000020" w:usb3="00000000" w:csb0="0000019F" w:csb1="00000000"/>
  </w:font>
  <w:font w:name="PT Serif Caption">
    <w:altName w:val="Century"/>
    <w:charset w:val="CC"/>
    <w:family w:val="roman"/>
    <w:pitch w:val="variable"/>
    <w:sig w:usb0="00000001"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00000003"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old">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E7" w:rsidRDefault="000E6FE7" w:rsidP="002868CF">
      <w:r>
        <w:separator/>
      </w:r>
    </w:p>
  </w:footnote>
  <w:footnote w:type="continuationSeparator" w:id="0">
    <w:p w:rsidR="000E6FE7" w:rsidRDefault="000E6FE7"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0B" w:rsidRPr="0039637A" w:rsidRDefault="002E270B" w:rsidP="0039637A">
    <w:pPr>
      <w:pStyle w:val="a4"/>
      <w:tabs>
        <w:tab w:val="clear" w:pos="4677"/>
        <w:tab w:val="clear" w:pos="9355"/>
      </w:tabs>
      <w:jc w:val="left"/>
      <w:rPr>
        <w:rFonts w:ascii="Myriad Pro" w:hAnsi="Myriad Pro"/>
        <w:color w:val="auto"/>
        <w:sz w:val="20"/>
        <w:szCs w:val="20"/>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39637A">
      <w:rPr>
        <w:rFonts w:ascii="Myriad Pro" w:hAnsi="Myriad Pro"/>
        <w:color w:val="auto"/>
        <w:sz w:val="20"/>
        <w:szCs w:val="20"/>
      </w:rPr>
      <w:t>АПРЕЛЬ-ИЮНЬ</w:t>
    </w:r>
    <w:r w:rsidR="003F36F4">
      <w:rPr>
        <w:rFonts w:ascii="Myriad Pro" w:hAnsi="Myriad Pro"/>
        <w:color w:val="auto"/>
        <w:sz w:val="20"/>
        <w:szCs w:val="20"/>
      </w:rPr>
      <w:t xml:space="preserve">  2020</w:t>
    </w:r>
  </w:p>
  <w:p w:rsidR="002E270B" w:rsidRDefault="000E6FE7"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2E270B" w:rsidRDefault="002E270B" w:rsidP="00B05AC3">
    <w:pPr>
      <w:pStyle w:val="a4"/>
      <w:tabs>
        <w:tab w:val="clear" w:pos="9355"/>
        <w:tab w:val="right" w:pos="10773"/>
      </w:tabs>
      <w:jc w:val="center"/>
      <w:rPr>
        <w:rFonts w:ascii="Minion Pro" w:hAnsi="Minion Pro"/>
        <w:b/>
        <w:sz w:val="18"/>
        <w:szCs w:val="18"/>
      </w:rPr>
    </w:pPr>
  </w:p>
  <w:p w:rsidR="002E270B" w:rsidRPr="00B05AC3" w:rsidRDefault="002E270B"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
    <w:nsid w:val="53802544"/>
    <w:multiLevelType w:val="hybridMultilevel"/>
    <w:tmpl w:val="52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B65BA"/>
    <w:multiLevelType w:val="hybridMultilevel"/>
    <w:tmpl w:val="0B96F976"/>
    <w:lvl w:ilvl="0" w:tplc="73B4459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D1802"/>
    <w:rsid w:val="000E2B9D"/>
    <w:rsid w:val="000E6FE7"/>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E270B"/>
    <w:rsid w:val="002F399B"/>
    <w:rsid w:val="00332C62"/>
    <w:rsid w:val="00345300"/>
    <w:rsid w:val="00354B27"/>
    <w:rsid w:val="00373556"/>
    <w:rsid w:val="00380064"/>
    <w:rsid w:val="00383DD9"/>
    <w:rsid w:val="00387B45"/>
    <w:rsid w:val="0039637A"/>
    <w:rsid w:val="00397219"/>
    <w:rsid w:val="003A06FF"/>
    <w:rsid w:val="003A3668"/>
    <w:rsid w:val="003C4A90"/>
    <w:rsid w:val="003E0132"/>
    <w:rsid w:val="003E3A5D"/>
    <w:rsid w:val="003F36F4"/>
    <w:rsid w:val="00400F4A"/>
    <w:rsid w:val="00415EFF"/>
    <w:rsid w:val="00425500"/>
    <w:rsid w:val="00431B71"/>
    <w:rsid w:val="004444DC"/>
    <w:rsid w:val="00444AC3"/>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329B1"/>
    <w:rsid w:val="00840129"/>
    <w:rsid w:val="008406CC"/>
    <w:rsid w:val="00840C7D"/>
    <w:rsid w:val="008534E4"/>
    <w:rsid w:val="00861DAD"/>
    <w:rsid w:val="00883A33"/>
    <w:rsid w:val="008B2592"/>
    <w:rsid w:val="008C79BF"/>
    <w:rsid w:val="008D11BA"/>
    <w:rsid w:val="008D27B0"/>
    <w:rsid w:val="008F0054"/>
    <w:rsid w:val="00912CD7"/>
    <w:rsid w:val="00913A5C"/>
    <w:rsid w:val="00922C89"/>
    <w:rsid w:val="00932D6D"/>
    <w:rsid w:val="009372B5"/>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4</Pages>
  <Words>2047</Words>
  <Characters>11673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user3</cp:lastModifiedBy>
  <cp:revision>17</cp:revision>
  <dcterms:created xsi:type="dcterms:W3CDTF">2018-01-22T02:08:00Z</dcterms:created>
  <dcterms:modified xsi:type="dcterms:W3CDTF">2020-07-10T09:50:00Z</dcterms:modified>
</cp:coreProperties>
</file>