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6" w:rsidRPr="00956F96" w:rsidRDefault="00956F96" w:rsidP="00956F96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smallCaps/>
          <w:color w:val="3C3C3B"/>
          <w:sz w:val="72"/>
          <w:szCs w:val="72"/>
          <w:lang w:eastAsia="en-US"/>
        </w:rPr>
      </w:pPr>
      <w:r w:rsidRPr="00956F96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>завершая 2020-</w:t>
      </w:r>
      <w:r w:rsidRPr="00956F96">
        <w:rPr>
          <w:rFonts w:ascii="Roboto Bk" w:eastAsiaTheme="minorHAnsi" w:hAnsi="Roboto Bk" w:cs="Roboto Bk"/>
          <w:smallCaps/>
          <w:color w:val="3C3C3B"/>
          <w:sz w:val="72"/>
          <w:szCs w:val="72"/>
          <w:lang w:eastAsia="en-US"/>
        </w:rPr>
        <w:t>й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5240" w:firstLine="0"/>
        <w:jc w:val="righ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</w:p>
    <w:p w:rsidR="00956F96" w:rsidRPr="00956F96" w:rsidRDefault="00956F96" w:rsidP="00956F96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  <w:r w:rsidRPr="00956F96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 xml:space="preserve">В заключительном материале из цикла публикаций от Управления Минюста России по Томской области предлагаем вашему вниманию интервью с его руководителем – Маргаритой Владимировной </w:t>
      </w:r>
      <w:proofErr w:type="spellStart"/>
      <w:r w:rsidRPr="00956F96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Барнаковой</w:t>
      </w:r>
      <w:proofErr w:type="spellEnd"/>
      <w:r w:rsidRPr="00956F96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, в котором мы обсудим актуальные вопросы взаимодействия ведомства с муниципалитетами.</w:t>
      </w:r>
    </w:p>
    <w:p w:rsidR="002B2EA6" w:rsidRDefault="002B2EA6" w:rsidP="002B2EA6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8"/>
          <w:szCs w:val="28"/>
          <w:lang w:eastAsia="en-US"/>
        </w:rPr>
      </w:pPr>
    </w:p>
    <w:p w:rsidR="00956F96" w:rsidRDefault="00956F96" w:rsidP="00956F96">
      <w:pPr>
        <w:pStyle w:val="afe"/>
      </w:pPr>
      <w:r>
        <w:rPr>
          <w:spacing w:val="-4"/>
        </w:rPr>
        <w:t xml:space="preserve">— Маргарита Владимировна, предлагаем начать с вопроса об уставах муниципальных образований. </w:t>
      </w:r>
    </w:p>
    <w:p w:rsidR="00956F96" w:rsidRDefault="00956F96" w:rsidP="00956F96">
      <w:pPr>
        <w:pStyle w:val="afe"/>
        <w:rPr>
          <w:rFonts w:ascii="PT Serif Caption" w:hAnsi="PT Serif Caption" w:cs="PT Serif Caption"/>
          <w:i w:val="0"/>
          <w:iCs w:val="0"/>
          <w:spacing w:val="-5"/>
          <w:sz w:val="20"/>
          <w:szCs w:val="20"/>
        </w:rPr>
      </w:pPr>
      <w:r>
        <w:rPr>
          <w:rFonts w:ascii="PT Serif Caption" w:hAnsi="PT Serif Caption" w:cs="PT Serif Caption"/>
          <w:i w:val="0"/>
          <w:iCs w:val="0"/>
          <w:sz w:val="20"/>
          <w:szCs w:val="20"/>
        </w:rPr>
        <w:t>—</w:t>
      </w:r>
      <w:r>
        <w:rPr>
          <w:rFonts w:ascii="PT Serif Caption" w:hAnsi="PT Serif Caption" w:cs="PT Serif Caption"/>
          <w:i w:val="0"/>
          <w:iCs w:val="0"/>
          <w:spacing w:val="-5"/>
          <w:sz w:val="20"/>
          <w:szCs w:val="20"/>
        </w:rPr>
        <w:t xml:space="preserve"> Устав, зарегистрированный в установленном законом порядке, обязано иметь каждое муниципальное образование. Он имеет прямое действие и применяется на всей территории муниципального образования, занимает главное место среди других муниципальных правовых актов. </w:t>
      </w:r>
    </w:p>
    <w:p w:rsidR="00A741F1" w:rsidRPr="00A741F1" w:rsidRDefault="00A741F1" w:rsidP="00A741F1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741F1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За 11 месяцев 2020 года процедуру государственной регистрации прошли 247 муниципальных правовых актов о внесении изменений в уставы муниципальных образований.</w:t>
      </w:r>
    </w:p>
    <w:p w:rsidR="00956F96" w:rsidRDefault="00956F96" w:rsidP="00956F96">
      <w:pPr>
        <w:pStyle w:val="af9"/>
        <w:rPr>
          <w:spacing w:val="-5"/>
        </w:rPr>
      </w:pPr>
      <w:r>
        <w:rPr>
          <w:spacing w:val="-5"/>
        </w:rPr>
        <w:t>Наиболее сложными для муниципалитетов остаются вопросы, связанные с процедурой принятия уставов, муниципальных правовых актов о внесении изменений в уставы, а также порядком оформления документов.</w:t>
      </w:r>
    </w:p>
    <w:p w:rsidR="00956F96" w:rsidRDefault="00956F96" w:rsidP="00956F96">
      <w:pPr>
        <w:pStyle w:val="af9"/>
        <w:rPr>
          <w:spacing w:val="-8"/>
        </w:rPr>
      </w:pPr>
      <w:r>
        <w:rPr>
          <w:spacing w:val="-8"/>
        </w:rPr>
        <w:t>В целях обеспечения соответствия уставов действующему законодательству специалистами нашего Управления в адрес глав территорий направляются самостоятельно разработанные проекты. Также нами проводятся проверки проектов уставов и проектов муниципальных правовых актов о внесении изменений в уставы (далее будем говорить «муниципальный акт»).</w:t>
      </w:r>
    </w:p>
    <w:p w:rsidR="00956F96" w:rsidRDefault="00956F96" w:rsidP="00956F96">
      <w:pPr>
        <w:pStyle w:val="afe"/>
        <w:rPr>
          <w:spacing w:val="-4"/>
        </w:rPr>
      </w:pPr>
      <w:r>
        <w:rPr>
          <w:spacing w:val="-4"/>
        </w:rPr>
        <w:t>— Какие изменения в части регистрации уставов ожидаются в 2021 году?</w:t>
      </w:r>
    </w:p>
    <w:p w:rsidR="00956F96" w:rsidRDefault="00956F96" w:rsidP="00956F96">
      <w:pPr>
        <w:pStyle w:val="af9"/>
      </w:pPr>
      <w:r>
        <w:t>— Г</w:t>
      </w:r>
      <w:r>
        <w:rPr>
          <w:spacing w:val="-2"/>
        </w:rPr>
        <w:t>осударственной Думой принят проект федерального закона «О внесении изменений в Федеральный закон «О госу</w:t>
      </w:r>
      <w:r>
        <w:t xml:space="preserve">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которым установлена возможность представления документов, необходимых для государственной регистрации уставов (муниципальных актов), в электронном виде. Порядок и форматы </w:t>
      </w:r>
      <w:proofErr w:type="spellStart"/>
      <w:r>
        <w:t>предствления</w:t>
      </w:r>
      <w:proofErr w:type="spellEnd"/>
      <w:r>
        <w:t xml:space="preserve"> документов должен определить Минюст России. </w:t>
      </w:r>
    </w:p>
    <w:p w:rsidR="00956F96" w:rsidRDefault="00956F96" w:rsidP="00956F96">
      <w:pPr>
        <w:pStyle w:val="af9"/>
        <w:rPr>
          <w:spacing w:val="-4"/>
        </w:rPr>
      </w:pPr>
      <w:r>
        <w:rPr>
          <w:spacing w:val="-6"/>
        </w:rPr>
        <w:t>П</w:t>
      </w:r>
      <w:r>
        <w:rPr>
          <w:spacing w:val="-4"/>
        </w:rPr>
        <w:t xml:space="preserve">редполагается, что для государственной регистрации уставы (муниципальные акты) будут направляться посредством системы межведомственного электронного документооборота субъекта РФ при условии, что соответствующее муниципальное образование и территориальный орган Минюста России подключены к такой системе. </w:t>
      </w:r>
    </w:p>
    <w:p w:rsidR="00956F96" w:rsidRDefault="00956F96" w:rsidP="00956F96">
      <w:pPr>
        <w:pStyle w:val="af9"/>
        <w:rPr>
          <w:spacing w:val="-2"/>
        </w:rPr>
      </w:pPr>
      <w:r>
        <w:rPr>
          <w:spacing w:val="-2"/>
        </w:rPr>
        <w:t xml:space="preserve">Также устанавливается, что территориальный орган Минюста РФ в течение пяти рабочих дней со дня принятия решения о государственной регистрации устава (муниципального акта) направляет главе муниципального образования уведомление о включении сведений об уставе (муниципальном акте) в государственный реестр уставов муниципальных образований. В уведомлении указывается дата регистрации и государственный регистрационный номер устава (муниципального акта). </w:t>
      </w:r>
    </w:p>
    <w:p w:rsidR="00956F96" w:rsidRDefault="00956F96" w:rsidP="00956F96">
      <w:pPr>
        <w:pStyle w:val="af9"/>
        <w:rPr>
          <w:spacing w:val="-5"/>
        </w:rPr>
      </w:pPr>
      <w:r>
        <w:rPr>
          <w:spacing w:val="-2"/>
        </w:rPr>
        <w:t>При этом требование о направлении главе муниципального образования зарегистрированного устава (муниципального акта) с проставленным специальным штампом, удостоверяющим государственную регистрацию, исключается.</w:t>
      </w:r>
    </w:p>
    <w:p w:rsidR="00956F96" w:rsidRDefault="00956F96" w:rsidP="00956F96">
      <w:pPr>
        <w:pStyle w:val="afe"/>
        <w:spacing w:before="57"/>
        <w:rPr>
          <w:spacing w:val="-5"/>
        </w:rPr>
      </w:pPr>
      <w:r>
        <w:rPr>
          <w:spacing w:val="-5"/>
        </w:rPr>
        <w:t xml:space="preserve">— Томское Управление явно заинтересовано в развитии цифровых технологий и электронных сервисов при организации взаимодействия с муниципалитетами, вы постоянно информируете нас о новых возможностях. Например, о преимуществах работы с Правовым порталом Минюста России «Нормативные правовые акты в Российской Федерации» подробно говорилось в Вестнике за апрель-июнь 2019 года. </w:t>
      </w:r>
    </w:p>
    <w:p w:rsidR="00956F96" w:rsidRDefault="00956F96" w:rsidP="00956F96">
      <w:pPr>
        <w:pStyle w:val="af9"/>
      </w:pPr>
      <w:r>
        <w:lastRenderedPageBreak/>
        <w:t xml:space="preserve">— Да, этот портал создан для обеспечения реализации конституционного права граждан на получение достоверной информации о нормативных правовых актах не только федерального, регионального, но еще и муниципального уровней. </w:t>
      </w:r>
    </w:p>
    <w:p w:rsidR="00956F96" w:rsidRDefault="00956F96" w:rsidP="00956F96">
      <w:pPr>
        <w:pStyle w:val="afe"/>
        <w:rPr>
          <w:rFonts w:ascii="PT Serif Caption" w:hAnsi="PT Serif Caption" w:cs="PT Serif Caption"/>
          <w:i w:val="0"/>
          <w:iCs w:val="0"/>
          <w:spacing w:val="-6"/>
          <w:sz w:val="20"/>
          <w:szCs w:val="20"/>
        </w:rPr>
      </w:pPr>
      <w:r>
        <w:rPr>
          <w:rFonts w:ascii="PT Serif Caption" w:hAnsi="PT Serif Caption" w:cs="PT Serif Caption"/>
          <w:i w:val="0"/>
          <w:iCs w:val="0"/>
          <w:spacing w:val="-6"/>
          <w:sz w:val="20"/>
          <w:szCs w:val="20"/>
        </w:rPr>
        <w:t xml:space="preserve">Только на этом портале представлены как текущие редакции нормативных правовых актов, так и предыдущие. И здесь обеспечивается свободный, бесплатный, круглосуточный доступ к нормативным правовым актам. Кроме того, он зарегистрирован как электронное (сетевое) средство массовой информации. </w:t>
      </w:r>
    </w:p>
    <w:p w:rsidR="00956F96" w:rsidRDefault="00956F96" w:rsidP="00956F96">
      <w:pPr>
        <w:pStyle w:val="af9"/>
        <w:rPr>
          <w:spacing w:val="-5"/>
        </w:rPr>
      </w:pPr>
      <w:proofErr w:type="gramStart"/>
      <w:r>
        <w:rPr>
          <w:spacing w:val="-5"/>
        </w:rPr>
        <w:t>Хочу напомнить, что в рамках реализации права законодательной инициативы Управления Минюста России по Томской области был принят Закон Томской области от 09.07.2019 № 71-ОЗ «О внесении изменения в статью 6.3 Закона Томской области «О порядке опубликования и вступления в силу законов и иных нормативных правовых актов Томской области», которым данный правовой портал определен в качестве официального источника размещения текстов нормативных правовых</w:t>
      </w:r>
      <w:proofErr w:type="gramEnd"/>
      <w:r>
        <w:rPr>
          <w:spacing w:val="-5"/>
        </w:rPr>
        <w:t xml:space="preserve"> актов Томской области. </w:t>
      </w:r>
    </w:p>
    <w:p w:rsidR="00A741F1" w:rsidRPr="00A741F1" w:rsidRDefault="00A741F1" w:rsidP="00A741F1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proofErr w:type="gramStart"/>
      <w:r w:rsidRPr="00A741F1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За 11 месяцев 2020 года только в региональную базу Томской области внесен 2441 НПА, а также 2530 дополнительных сведений (в том числе акты прокурорского реагирования и акты судебных органов). </w:t>
      </w:r>
      <w:proofErr w:type="gramEnd"/>
    </w:p>
    <w:p w:rsidR="00956F96" w:rsidRDefault="00956F96" w:rsidP="00956F96">
      <w:pPr>
        <w:pStyle w:val="af9"/>
        <w:rPr>
          <w:spacing w:val="-5"/>
        </w:rPr>
      </w:pPr>
      <w:r>
        <w:rPr>
          <w:spacing w:val="-5"/>
        </w:rPr>
        <w:t>Обращаю внимание, что муниципальные образования, в уставы которых включены положения об использовании этого портала, вправе не размещать в печатном периодическом издании объемные графические и табличные приложения к муниципальному правовому акту, в случае одновременного или более раннего опубликования (размещения) полного текста этого муниципального правового акта на портале.</w:t>
      </w:r>
    </w:p>
    <w:p w:rsidR="00956F96" w:rsidRDefault="00956F96" w:rsidP="00956F96">
      <w:pPr>
        <w:pStyle w:val="af9"/>
        <w:rPr>
          <w:spacing w:val="-5"/>
        </w:rPr>
      </w:pPr>
      <w:r>
        <w:rPr>
          <w:spacing w:val="-5"/>
        </w:rPr>
        <w:t>В настоящее время норма об использовании портала Минюста в качестве дополнительного источника официального опубликования включена в уставы 66 муниципальных образований Томской области: 1 городской округ, 3 района и 62 поселения.</w:t>
      </w:r>
    </w:p>
    <w:p w:rsidR="00956F96" w:rsidRDefault="00956F96" w:rsidP="00956F96">
      <w:pPr>
        <w:pStyle w:val="afe"/>
        <w:spacing w:before="113"/>
        <w:rPr>
          <w:spacing w:val="-4"/>
        </w:rPr>
      </w:pPr>
      <w:r>
        <w:rPr>
          <w:spacing w:val="-4"/>
        </w:rPr>
        <w:t xml:space="preserve">— В 2020 году Управлением также был подготовлен проект Закона Томской области «О внесении изменений в Закон Томской области «О поддержке социально ориентированных некоммерческих организаций органами государственной власти Томской области». </w:t>
      </w:r>
    </w:p>
    <w:p w:rsidR="00956F96" w:rsidRDefault="00956F96" w:rsidP="00956F96">
      <w:pPr>
        <w:pStyle w:val="af9"/>
      </w:pPr>
      <w:r>
        <w:t>— Этот проект закона направлен на раскрытие действующего принципа приоритетного оказания поддержки некоммерческим организациям — исполнителям общественно полезных услуг.</w:t>
      </w:r>
    </w:p>
    <w:p w:rsidR="00956F96" w:rsidRDefault="00956F96" w:rsidP="00956F96">
      <w:pPr>
        <w:pStyle w:val="af9"/>
        <w:rPr>
          <w:spacing w:val="-5"/>
        </w:rPr>
      </w:pPr>
      <w:proofErr w:type="gramStart"/>
      <w:r>
        <w:rPr>
          <w:spacing w:val="-5"/>
        </w:rPr>
        <w:t xml:space="preserve">Закон от 13.10.2010 № 218-ОЗ «О поддержке социально ориентированных некоммерческих организаций органами государственной власти Томской области» включен Законодательной Думой Томской области в план мониторинга </w:t>
      </w:r>
      <w:proofErr w:type="spellStart"/>
      <w:r>
        <w:rPr>
          <w:spacing w:val="-5"/>
        </w:rPr>
        <w:t>правоприменения</w:t>
      </w:r>
      <w:proofErr w:type="spellEnd"/>
      <w:r>
        <w:rPr>
          <w:spacing w:val="-5"/>
        </w:rPr>
        <w:t xml:space="preserve"> нормативных правовых актов Томской области на 2021 год, так как вопрос привлечения НКО в сферу оказания общественно полезных услуг населению один из приоритетов социальной политики  государства, в том числе и при реализации  нацпроектов.</w:t>
      </w:r>
      <w:proofErr w:type="gramEnd"/>
    </w:p>
    <w:p w:rsidR="00956F96" w:rsidRDefault="00956F96" w:rsidP="00956F96">
      <w:pPr>
        <w:pStyle w:val="af9"/>
        <w:rPr>
          <w:spacing w:val="-6"/>
        </w:rPr>
      </w:pPr>
      <w:r>
        <w:rPr>
          <w:spacing w:val="-5"/>
        </w:rPr>
        <w:t>В Т</w:t>
      </w:r>
      <w:r>
        <w:rPr>
          <w:spacing w:val="-6"/>
        </w:rPr>
        <w:t xml:space="preserve">омской области на 1 декабря 2020 года зарегистрировано 1541 НКО, 241 из которых работают на территории районов. По итогам доклада о состоянии гражданского общества за 2019 год важная сфера, в которой может быть задействован потенциал гражданского общества и НКО, — оказание услуг в социальной сфере. </w:t>
      </w:r>
    </w:p>
    <w:p w:rsidR="00956F96" w:rsidRDefault="00956F96" w:rsidP="00956F96">
      <w:pPr>
        <w:pStyle w:val="af9"/>
        <w:rPr>
          <w:spacing w:val="-5"/>
        </w:rPr>
      </w:pPr>
      <w:r>
        <w:rPr>
          <w:spacing w:val="-6"/>
        </w:rPr>
        <w:t xml:space="preserve">НКО не ограничены отраслевой и ведомственной принадлежностью, что позволяет им оперативно реагировать на изменения в общественной жизни, быстрее отзываться на новые запросы и потребности получателей услуг. </w:t>
      </w:r>
      <w:r>
        <w:rPr>
          <w:spacing w:val="-5"/>
        </w:rPr>
        <w:t>Существуют сферы, где достичь заметных изменений без привлечения НКО просто невозможно. К примеру, при профилактике социально опасных заболеваний, приобщении граждан к здоровому образу жизни и занятиям физкультурой, сопровождаемом проживании и занятости людей с инвалидностью, организации отдыха для детей с ограниченными возможностями здоровья.</w:t>
      </w:r>
    </w:p>
    <w:p w:rsidR="00956F96" w:rsidRDefault="00956F96" w:rsidP="00956F96">
      <w:pPr>
        <w:pStyle w:val="af9"/>
        <w:rPr>
          <w:spacing w:val="-8"/>
        </w:rPr>
      </w:pPr>
      <w:r>
        <w:rPr>
          <w:spacing w:val="-8"/>
        </w:rPr>
        <w:t xml:space="preserve">Только в 2020 году с заявлением о государственной регистрации обратилось 47 организаций, целью создания которых было оказание социальных услуг населению. </w:t>
      </w:r>
    </w:p>
    <w:p w:rsidR="00956F96" w:rsidRDefault="00956F96" w:rsidP="00956F96">
      <w:pPr>
        <w:pStyle w:val="af9"/>
        <w:rPr>
          <w:spacing w:val="-5"/>
        </w:rPr>
      </w:pPr>
      <w:r>
        <w:rPr>
          <w:spacing w:val="-5"/>
        </w:rPr>
        <w:t xml:space="preserve">Но есть и НКО, имеющие опыт работы более 20 лет. Например, на </w:t>
      </w:r>
      <w:proofErr w:type="gramStart"/>
      <w:r>
        <w:rPr>
          <w:spacing w:val="-5"/>
        </w:rPr>
        <w:t>территории</w:t>
      </w:r>
      <w:proofErr w:type="gramEnd"/>
      <w:r>
        <w:rPr>
          <w:spacing w:val="-5"/>
        </w:rPr>
        <w:t xml:space="preserve"> ЗАТО Северск — местная общественная организация «Городской совет ветеранов (пенсионеров) войны, труда, Вооруженных Сил и правоохранительных органов ЗАТО Северск»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органов; в </w:t>
      </w:r>
      <w:proofErr w:type="spellStart"/>
      <w:r>
        <w:rPr>
          <w:spacing w:val="-5"/>
        </w:rPr>
        <w:t>Колпашевском</w:t>
      </w:r>
      <w:proofErr w:type="spellEnd"/>
      <w:r>
        <w:rPr>
          <w:spacing w:val="-5"/>
        </w:rPr>
        <w:t xml:space="preserve"> районе — автономная некоммерческая организация </w:t>
      </w:r>
      <w:proofErr w:type="spellStart"/>
      <w:r>
        <w:rPr>
          <w:spacing w:val="-5"/>
        </w:rPr>
        <w:t>Колпашевского</w:t>
      </w:r>
      <w:proofErr w:type="spellEnd"/>
      <w:r>
        <w:rPr>
          <w:spacing w:val="-5"/>
        </w:rPr>
        <w:t xml:space="preserve"> района «Центр социальной помощи молодежи». </w:t>
      </w:r>
    </w:p>
    <w:p w:rsidR="00A741F1" w:rsidRPr="00A741F1" w:rsidRDefault="00A741F1" w:rsidP="00956F96">
      <w:pPr>
        <w:pStyle w:val="af9"/>
        <w:rPr>
          <w:spacing w:val="-6"/>
          <w:sz w:val="14"/>
        </w:rPr>
      </w:pPr>
      <w:r w:rsidRPr="00A741F1">
        <w:rPr>
          <w:spacing w:val="-6"/>
          <w:sz w:val="14"/>
        </w:rPr>
        <w:lastRenderedPageBreak/>
        <w:t>К слову</w:t>
      </w: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2"/>
          <w:szCs w:val="18"/>
          <w:lang w:eastAsia="en-US"/>
        </w:rPr>
      </w:pPr>
      <w:r w:rsidRPr="00A741F1">
        <w:rPr>
          <w:rFonts w:ascii="PT Serif Caption" w:eastAsiaTheme="minorHAnsi" w:hAnsi="PT Serif Caption" w:cs="PT Serif Caption"/>
          <w:color w:val="3C3C3B"/>
          <w:spacing w:val="-2"/>
          <w:sz w:val="12"/>
          <w:szCs w:val="18"/>
          <w:lang w:eastAsia="en-US"/>
        </w:rPr>
        <w:t xml:space="preserve">За 2017-2020 годы томскими НКО реализовано более 100 социальных проектов в сфере здравоохранения, образовательной деятельности, физкультуры и спорта. </w:t>
      </w: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2"/>
          <w:szCs w:val="18"/>
          <w:lang w:eastAsia="en-US"/>
        </w:rPr>
      </w:pPr>
      <w:r w:rsidRPr="00A741F1">
        <w:rPr>
          <w:rFonts w:ascii="PT Serif Caption" w:eastAsiaTheme="minorHAnsi" w:hAnsi="PT Serif Caption" w:cs="PT Serif Caption"/>
          <w:color w:val="3C3C3B"/>
          <w:spacing w:val="-2"/>
          <w:sz w:val="12"/>
          <w:szCs w:val="18"/>
          <w:lang w:eastAsia="en-US"/>
        </w:rPr>
        <w:t>Согласно отчетам о деятельности НКО за 2019 год 61 благотворительная организация участвовала в проектах по защите животных, профилактике ВИЧ-инфекций, наркомании и алкоголизма, помощи детя</w:t>
      </w:r>
      <w:proofErr w:type="gramStart"/>
      <w:r w:rsidRPr="00A741F1">
        <w:rPr>
          <w:rFonts w:ascii="PT Serif Caption" w:eastAsiaTheme="minorHAnsi" w:hAnsi="PT Serif Caption" w:cs="PT Serif Caption"/>
          <w:color w:val="3C3C3B"/>
          <w:spacing w:val="-2"/>
          <w:sz w:val="12"/>
          <w:szCs w:val="18"/>
          <w:lang w:eastAsia="en-US"/>
        </w:rPr>
        <w:t>м–</w:t>
      </w:r>
      <w:proofErr w:type="gramEnd"/>
      <w:r w:rsidRPr="00A741F1">
        <w:rPr>
          <w:rFonts w:ascii="PT Serif Caption" w:eastAsiaTheme="minorHAnsi" w:hAnsi="PT Serif Caption" w:cs="PT Serif Caption"/>
          <w:color w:val="3C3C3B"/>
          <w:spacing w:val="-2"/>
          <w:sz w:val="12"/>
          <w:szCs w:val="18"/>
          <w:lang w:eastAsia="en-US"/>
        </w:rPr>
        <w:t xml:space="preserve"> сиротам и детям, оставшимся без попечения родителей, ветеранам и пенсионерам, оказанию социальной и благотворительной  помощи на сумму свыше 63,8 млн. рублей.</w:t>
      </w: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2"/>
          <w:szCs w:val="18"/>
          <w:lang w:eastAsia="en-US"/>
        </w:rPr>
      </w:pPr>
    </w:p>
    <w:p w:rsidR="00A741F1" w:rsidRPr="00A741F1" w:rsidRDefault="00A741F1" w:rsidP="00A741F1">
      <w:pPr>
        <w:pStyle w:val="af3"/>
        <w:rPr>
          <w:sz w:val="18"/>
          <w:lang w:val="ru-RU"/>
        </w:rPr>
      </w:pPr>
      <w:proofErr w:type="gramStart"/>
      <w:r w:rsidRPr="00A741F1">
        <w:rPr>
          <w:rFonts w:ascii="PT Serif Caption" w:hAnsi="PT Serif Caption" w:cs="PT Serif Caption"/>
          <w:color w:val="3C3C3B"/>
          <w:spacing w:val="-2"/>
          <w:sz w:val="12"/>
          <w:szCs w:val="18"/>
          <w:lang w:val="ru-RU"/>
        </w:rPr>
        <w:t>В 2019 году 2 некоммерческие организации — автономная некоммерческая организация дошкольного образования «Академический» и региональная общественная благотворительная организация «Подранки» — приобрели статус исполнителей общественно полезных услуг в сфере дошкольного и общего образования, дополнительного образования детей; оказания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 – сирот.</w:t>
      </w:r>
      <w:proofErr w:type="gramEnd"/>
    </w:p>
    <w:p w:rsidR="00956F96" w:rsidRDefault="00956F96" w:rsidP="00956F96">
      <w:pPr>
        <w:pStyle w:val="af9"/>
        <w:rPr>
          <w:spacing w:val="-8"/>
        </w:rPr>
      </w:pPr>
      <w:r>
        <w:rPr>
          <w:spacing w:val="-6"/>
        </w:rPr>
        <w:t xml:space="preserve">Мы полагаем, что СО НКО — исполнители общественно полезных услуг могут составить конкуренцию областным и муниципальным бюджетным учреждениям, предложить такие общественно полезные услуги, которые в настоящее время никем не организованы. </w:t>
      </w:r>
      <w:proofErr w:type="gramStart"/>
      <w:r>
        <w:rPr>
          <w:spacing w:val="-8"/>
        </w:rPr>
        <w:t xml:space="preserve">Например, томское региональное отделение Общероссийской общественной организации «Союз армян России» и национально-культурная автономия белорусов проводят мероприятия по сохранению национального языка и культуры; региональный благотворительный общественный фонд «Право на детство», региональная общественная благотворительная организация «Добро» реализуют проекты по развитию творческого потенциала и преодолению социальной </w:t>
      </w:r>
      <w:proofErr w:type="spellStart"/>
      <w:r>
        <w:rPr>
          <w:spacing w:val="-8"/>
        </w:rPr>
        <w:t>дезадаптации</w:t>
      </w:r>
      <w:proofErr w:type="spellEnd"/>
      <w:r>
        <w:rPr>
          <w:spacing w:val="-8"/>
        </w:rPr>
        <w:t xml:space="preserve"> детей-сирот, детей с ОВЗ и детей, находящихся в трудной жизненной ситуации;</w:t>
      </w:r>
      <w:proofErr w:type="gramEnd"/>
      <w:r>
        <w:rPr>
          <w:spacing w:val="-8"/>
        </w:rPr>
        <w:t xml:space="preserve"> региональное объединение реабилитационных центров Томской области, общественная организация «Родители против наркотиков» г. Северска занимаются реабилитацией граждан, страдающих алкогольной и наркотической зависимостью. </w:t>
      </w:r>
    </w:p>
    <w:p w:rsidR="00956F96" w:rsidRDefault="00956F96" w:rsidP="00956F96">
      <w:pPr>
        <w:pStyle w:val="af9"/>
        <w:rPr>
          <w:spacing w:val="-6"/>
        </w:rPr>
      </w:pPr>
      <w:r>
        <w:rPr>
          <w:spacing w:val="-5"/>
        </w:rPr>
        <w:t xml:space="preserve">Мы убеждены, что НКО будут активнее включаться в работу по реализации социальных проектов, если органы местного самоуправления окажут им содействие. </w:t>
      </w:r>
      <w:r>
        <w:rPr>
          <w:spacing w:val="-6"/>
        </w:rPr>
        <w:t xml:space="preserve">Формы поддержки могут быть разные: финансовая </w:t>
      </w:r>
      <w:r>
        <w:rPr>
          <w:rFonts w:ascii="Helvetica Light Oblique" w:hAnsi="Helvetica Light Oblique" w:cs="Helvetica Light Oblique"/>
          <w:i/>
          <w:iCs/>
          <w:spacing w:val="-5"/>
          <w:sz w:val="18"/>
          <w:szCs w:val="18"/>
        </w:rPr>
        <w:t>—</w:t>
      </w:r>
      <w:r>
        <w:rPr>
          <w:spacing w:val="-6"/>
        </w:rPr>
        <w:t xml:space="preserve"> в форме грантов (субсидий); имущественная </w:t>
      </w:r>
      <w:r>
        <w:rPr>
          <w:rFonts w:ascii="Helvetica Light Oblique" w:hAnsi="Helvetica Light Oblique" w:cs="Helvetica Light Oblique"/>
          <w:i/>
          <w:iCs/>
          <w:spacing w:val="-5"/>
          <w:sz w:val="18"/>
          <w:szCs w:val="18"/>
        </w:rPr>
        <w:t>—</w:t>
      </w:r>
      <w:r>
        <w:rPr>
          <w:spacing w:val="-6"/>
        </w:rPr>
        <w:t xml:space="preserve"> путем передачи муниципального имущества в безвозмездное пользование или в аренду по льготным ставкам; информационная </w:t>
      </w:r>
      <w:r>
        <w:rPr>
          <w:rFonts w:ascii="Helvetica Light Oblique" w:hAnsi="Helvetica Light Oblique" w:cs="Helvetica Light Oblique"/>
          <w:i/>
          <w:iCs/>
          <w:spacing w:val="-5"/>
          <w:sz w:val="18"/>
          <w:szCs w:val="18"/>
        </w:rPr>
        <w:t>—</w:t>
      </w:r>
      <w:r>
        <w:rPr>
          <w:spacing w:val="-6"/>
        </w:rPr>
        <w:t xml:space="preserve"> через размещение материалов в местной газете, на сайте муниципального образования; обучение добровольцев (волонтеров) СО НКО по их запросам.</w:t>
      </w:r>
    </w:p>
    <w:p w:rsidR="00956F96" w:rsidRDefault="00956F96" w:rsidP="00956F96">
      <w:pPr>
        <w:pStyle w:val="af9"/>
        <w:rPr>
          <w:spacing w:val="-5"/>
        </w:rPr>
      </w:pPr>
      <w:r>
        <w:rPr>
          <w:spacing w:val="-5"/>
        </w:rPr>
        <w:t>Успешными практиками такого взаимодействия являются, например, проект Северской общественной благотворительной зоозащитной организации «</w:t>
      </w:r>
      <w:proofErr w:type="spellStart"/>
      <w:r>
        <w:rPr>
          <w:spacing w:val="-5"/>
        </w:rPr>
        <w:t>Котодом</w:t>
      </w:r>
      <w:proofErr w:type="spellEnd"/>
      <w:r>
        <w:rPr>
          <w:spacing w:val="-5"/>
        </w:rPr>
        <w:t xml:space="preserve">», организовавшей приют для бездомных животных в помещении, предоставленном администрацией города; проект томского регионального отделения Общероссийской общественной организации «Союз пенсионеров России» по обучению компьютерной грамотности граждан старшего поколения, реализованного совместно с администрацией города Томска. </w:t>
      </w:r>
    </w:p>
    <w:p w:rsidR="00956F96" w:rsidRDefault="00956F96" w:rsidP="00956F96">
      <w:pPr>
        <w:pStyle w:val="af9"/>
        <w:rPr>
          <w:spacing w:val="-6"/>
        </w:rPr>
      </w:pPr>
      <w:r>
        <w:rPr>
          <w:spacing w:val="-6"/>
        </w:rPr>
        <w:t>Полагаем, что проектная деятельность НКО, организованная с участием муниципалитетов, имеет больше шансов на победу в конкурсе Фонда президентских грантов.</w:t>
      </w:r>
    </w:p>
    <w:p w:rsidR="00A741F1" w:rsidRPr="00A741F1" w:rsidRDefault="00A741F1" w:rsidP="00A741F1">
      <w:pPr>
        <w:pStyle w:val="af3"/>
        <w:rPr>
          <w:sz w:val="20"/>
          <w:lang w:val="ru-RU"/>
        </w:rPr>
      </w:pPr>
      <w:r w:rsidRPr="00A741F1">
        <w:rPr>
          <w:sz w:val="20"/>
          <w:lang w:val="ru-RU"/>
        </w:rPr>
        <w:t>СПРАВКА:</w:t>
      </w: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4"/>
          <w:szCs w:val="18"/>
          <w:lang w:eastAsia="en-US"/>
        </w:rPr>
      </w:pPr>
      <w:r w:rsidRPr="00A741F1">
        <w:rPr>
          <w:rFonts w:ascii="PT Serif Caption" w:eastAsiaTheme="minorHAnsi" w:hAnsi="PT Serif Caption" w:cs="PT Serif Caption"/>
          <w:color w:val="3C3C3B"/>
          <w:spacing w:val="-2"/>
          <w:sz w:val="14"/>
          <w:szCs w:val="18"/>
          <w:lang w:eastAsia="en-US"/>
        </w:rPr>
        <w:t xml:space="preserve">Томская область в соответствии с Федеральным законом от 21.11.2011 № 324-ФЗ «О бесплатной юридической помощи в Российской Федерации» определила перечень участников государственной системы БЮП, дополнила категории граждан, имеющих право на получение БЮП на территории региона. </w:t>
      </w: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1"/>
          <w:sz w:val="12"/>
          <w:szCs w:val="12"/>
          <w:lang w:eastAsia="en-US"/>
        </w:rPr>
      </w:pP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</w:pPr>
      <w:proofErr w:type="gramStart"/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 xml:space="preserve">В районах области квалифицированную юридическую помощь бесплатно в рамках своей компетенции организуют участники государственной системы БЮП: подразделения территориальных органов федеральных органов исполнительной власти (ФССП, ФСИН, </w:t>
      </w:r>
      <w:proofErr w:type="spellStart"/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>Росреестр</w:t>
      </w:r>
      <w:proofErr w:type="spellEnd"/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>); исполнительные органы государственной власти Томской области и подведомственные им учреждения; органы прокуратуры; отделы СУ СК России по Томской области; районные подразделения УМВД России по Томской области;</w:t>
      </w:r>
      <w:proofErr w:type="gramEnd"/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 xml:space="preserve"> районные суды; адвокаты и филиалы </w:t>
      </w:r>
      <w:proofErr w:type="spellStart"/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>Госюрбюро</w:t>
      </w:r>
      <w:proofErr w:type="spellEnd"/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 xml:space="preserve">.  </w:t>
      </w: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1"/>
          <w:sz w:val="12"/>
          <w:szCs w:val="12"/>
          <w:lang w:eastAsia="en-US"/>
        </w:rPr>
      </w:pP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</w:pPr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 xml:space="preserve">Перед участниками государственной системы БЮП поставлена задача по организации взаимодействия с органами местного самоуправления, работающими в тесном </w:t>
      </w:r>
      <w:proofErr w:type="gramStart"/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>контакте</w:t>
      </w:r>
      <w:proofErr w:type="gramEnd"/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 xml:space="preserve"> как с населением, так и с государственными органами.</w:t>
      </w: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1"/>
          <w:sz w:val="12"/>
          <w:szCs w:val="12"/>
          <w:lang w:eastAsia="en-US"/>
        </w:rPr>
      </w:pPr>
    </w:p>
    <w:p w:rsid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</w:pPr>
      <w:r w:rsidRPr="00A741F1"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  <w:t>Список адвокатов, участников государственной системы БЮП размещен на сайтах Администрации Томской области и областной Адвокатской палаты.</w:t>
      </w:r>
    </w:p>
    <w:p w:rsidR="008D4C1A" w:rsidRPr="008D4C1A" w:rsidRDefault="008D4C1A" w:rsidP="008D4C1A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В 2019 году президентские гранты получили 42 томские НКО на сумму 63,6 </w:t>
      </w:r>
      <w:proofErr w:type="gramStart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млн</w:t>
      </w:r>
      <w:proofErr w:type="gramEnd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рублей, 7 НКО из них участвовали в реализации социальных проектов в Северске, </w:t>
      </w:r>
      <w:proofErr w:type="spellStart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Шегарском</w:t>
      </w:r>
      <w:proofErr w:type="spellEnd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, </w:t>
      </w:r>
      <w:proofErr w:type="spellStart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Колпашевском</w:t>
      </w:r>
      <w:proofErr w:type="spellEnd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, </w:t>
      </w:r>
      <w:proofErr w:type="spellStart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Тегульдетском</w:t>
      </w:r>
      <w:proofErr w:type="spellEnd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, </w:t>
      </w:r>
      <w:proofErr w:type="spellStart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Кривошеинском</w:t>
      </w:r>
      <w:proofErr w:type="spellEnd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и </w:t>
      </w:r>
      <w:proofErr w:type="spellStart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Каргасокском</w:t>
      </w:r>
      <w:proofErr w:type="spellEnd"/>
      <w:r w:rsidRPr="008D4C1A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районах.</w:t>
      </w:r>
    </w:p>
    <w:p w:rsidR="008D4C1A" w:rsidRPr="00A741F1" w:rsidRDefault="008D4C1A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8"/>
          <w:szCs w:val="18"/>
          <w:lang w:eastAsia="en-US"/>
        </w:rPr>
      </w:pPr>
      <w:bookmarkStart w:id="0" w:name="_GoBack"/>
      <w:bookmarkEnd w:id="0"/>
    </w:p>
    <w:p w:rsidR="00A741F1" w:rsidRPr="00A741F1" w:rsidRDefault="00A741F1" w:rsidP="00A741F1">
      <w:pPr>
        <w:pStyle w:val="af3"/>
        <w:rPr>
          <w:lang w:val="ru-RU"/>
        </w:rPr>
      </w:pPr>
    </w:p>
    <w:p w:rsidR="00956F96" w:rsidRDefault="00956F96" w:rsidP="00956F96">
      <w:pPr>
        <w:pStyle w:val="af9"/>
        <w:rPr>
          <w:spacing w:val="-5"/>
        </w:rPr>
      </w:pPr>
      <w:r>
        <w:rPr>
          <w:spacing w:val="-5"/>
        </w:rPr>
        <w:lastRenderedPageBreak/>
        <w:t xml:space="preserve">Отдельно хотелось бы остановиться на взаимодействии муниципалитетов и казачьих обществ. На данный момент в регионе действуют 8 казачьих обществ, 7 из которых внесены в Государственный реестр казачьих обществ РФ. </w:t>
      </w:r>
    </w:p>
    <w:p w:rsidR="00956F96" w:rsidRDefault="00956F96" w:rsidP="00956F96">
      <w:pPr>
        <w:pStyle w:val="af9"/>
        <w:rPr>
          <w:spacing w:val="-8"/>
        </w:rPr>
      </w:pPr>
      <w:r>
        <w:rPr>
          <w:spacing w:val="-8"/>
        </w:rPr>
        <w:t xml:space="preserve">Согласно отчетам о деятельности, 99 реестровых казаков приняли на себя обязательства по несению государственной и иной службы. В Томске, Северске, </w:t>
      </w:r>
      <w:proofErr w:type="spellStart"/>
      <w:r>
        <w:rPr>
          <w:spacing w:val="-8"/>
        </w:rPr>
        <w:t>Парабельском</w:t>
      </w:r>
      <w:proofErr w:type="spellEnd"/>
      <w:r>
        <w:rPr>
          <w:spacing w:val="-8"/>
        </w:rPr>
        <w:t xml:space="preserve"> районе, </w:t>
      </w:r>
      <w:proofErr w:type="spellStart"/>
      <w:r>
        <w:rPr>
          <w:spacing w:val="-8"/>
        </w:rPr>
        <w:t>Кривошеинском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Корниловском</w:t>
      </w:r>
      <w:proofErr w:type="spellEnd"/>
      <w:r>
        <w:rPr>
          <w:spacing w:val="-8"/>
        </w:rPr>
        <w:t xml:space="preserve"> и </w:t>
      </w:r>
      <w:proofErr w:type="spellStart"/>
      <w:r>
        <w:rPr>
          <w:spacing w:val="-8"/>
        </w:rPr>
        <w:t>Каргасокском</w:t>
      </w:r>
      <w:proofErr w:type="spellEnd"/>
      <w:r>
        <w:rPr>
          <w:spacing w:val="-8"/>
        </w:rPr>
        <w:t xml:space="preserve"> поселениях муниципалитетами согласованы казачьим обществам обязательства по оказанию содействия в охране общественного порядка, предупреждению и ликвидации ЧС, в организации военно-патриотического воспитания допризывной молодежи, осуществлению природоохранных мероприятий, охране объектов культурного наследия.</w:t>
      </w:r>
    </w:p>
    <w:p w:rsidR="00956F96" w:rsidRDefault="00956F96" w:rsidP="00956F96">
      <w:pPr>
        <w:pStyle w:val="af9"/>
        <w:rPr>
          <w:spacing w:val="-2"/>
        </w:rPr>
      </w:pPr>
      <w:r>
        <w:rPr>
          <w:spacing w:val="-8"/>
        </w:rPr>
        <w:t>2</w:t>
      </w:r>
      <w:r>
        <w:rPr>
          <w:spacing w:val="-2"/>
        </w:rPr>
        <w:t xml:space="preserve">020 год запомнится как год борьбы с новой </w:t>
      </w:r>
      <w:proofErr w:type="spellStart"/>
      <w:r>
        <w:rPr>
          <w:spacing w:val="-2"/>
        </w:rPr>
        <w:t>короновирусной</w:t>
      </w:r>
      <w:proofErr w:type="spellEnd"/>
      <w:r>
        <w:rPr>
          <w:spacing w:val="-2"/>
        </w:rPr>
        <w:t xml:space="preserve"> инфекцией, когда многие работали только по предварительной записи. Это создавало определенные трудности и для НКО, поэтому мы так заинтересованы в развитии электронных сервисов. Государственные услуги, в предоставлении которых участвует Управление, </w:t>
      </w:r>
      <w:proofErr w:type="gramStart"/>
      <w:r>
        <w:rPr>
          <w:spacing w:val="-2"/>
        </w:rPr>
        <w:t>доступны</w:t>
      </w:r>
      <w:proofErr w:type="gramEnd"/>
      <w:r>
        <w:rPr>
          <w:spacing w:val="-2"/>
        </w:rPr>
        <w:t xml:space="preserve"> на Едином портале государственных и муниципальных услуг. В этой связи актуальным является поддержка НКО удостоверяющими центрами, организованными в районах.</w:t>
      </w:r>
    </w:p>
    <w:p w:rsidR="00956F96" w:rsidRDefault="00956F96" w:rsidP="00956F96">
      <w:pPr>
        <w:pStyle w:val="afe"/>
        <w:spacing w:after="0"/>
        <w:rPr>
          <w:spacing w:val="-1"/>
          <w:sz w:val="2"/>
          <w:szCs w:val="2"/>
        </w:rPr>
      </w:pPr>
    </w:p>
    <w:p w:rsidR="00956F96" w:rsidRDefault="00956F96" w:rsidP="00956F96">
      <w:pPr>
        <w:pStyle w:val="afe"/>
        <w:spacing w:before="57"/>
        <w:rPr>
          <w:spacing w:val="-7"/>
        </w:rPr>
      </w:pPr>
      <w:r>
        <w:rPr>
          <w:spacing w:val="-7"/>
        </w:rPr>
        <w:t>— Управление осуществляет координацию и мониторинг оказания квалифицированной бесплатной юридической помощи (сокращенно «БЮП»). Расскажите об этом подробнее.</w:t>
      </w:r>
    </w:p>
    <w:p w:rsidR="00956F96" w:rsidRDefault="00956F96" w:rsidP="00956F96">
      <w:pPr>
        <w:pStyle w:val="af9"/>
      </w:pPr>
      <w:r>
        <w:t xml:space="preserve">— На </w:t>
      </w:r>
      <w:r>
        <w:rPr>
          <w:spacing w:val="-8"/>
        </w:rPr>
        <w:t>25.11.2020 года в Томской области 145 адвокатов я</w:t>
      </w:r>
      <w:r>
        <w:t>вляются участниками государственной системы БЮП, из них 49 практикуют в районах.</w:t>
      </w:r>
    </w:p>
    <w:p w:rsidR="00956F96" w:rsidRDefault="00956F96" w:rsidP="00956F96">
      <w:pPr>
        <w:pStyle w:val="af9"/>
        <w:rPr>
          <w:spacing w:val="-8"/>
        </w:rPr>
      </w:pPr>
      <w:proofErr w:type="spellStart"/>
      <w:r>
        <w:rPr>
          <w:spacing w:val="-8"/>
        </w:rPr>
        <w:t>Госюрбюро</w:t>
      </w:r>
      <w:proofErr w:type="spellEnd"/>
      <w:r>
        <w:rPr>
          <w:spacing w:val="-8"/>
        </w:rPr>
        <w:t xml:space="preserve"> имеет на территории области 16 подразделений, включая центральный офис в Томске. В этом году оно значительно расширило свою сеть, открыв подразделения в </w:t>
      </w:r>
      <w:proofErr w:type="spellStart"/>
      <w:r>
        <w:rPr>
          <w:spacing w:val="-8"/>
        </w:rPr>
        <w:t>Кривошеинском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Молчановском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Парабельском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Каргасокском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Бакчарском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Тегульдетском</w:t>
      </w:r>
      <w:proofErr w:type="spellEnd"/>
      <w:r>
        <w:rPr>
          <w:spacing w:val="-8"/>
        </w:rPr>
        <w:t xml:space="preserve"> и </w:t>
      </w:r>
      <w:proofErr w:type="spellStart"/>
      <w:r>
        <w:rPr>
          <w:spacing w:val="-8"/>
        </w:rPr>
        <w:t>Чаинском</w:t>
      </w:r>
      <w:proofErr w:type="spellEnd"/>
      <w:r>
        <w:rPr>
          <w:spacing w:val="-8"/>
        </w:rPr>
        <w:t xml:space="preserve"> районах.</w:t>
      </w:r>
    </w:p>
    <w:p w:rsidR="00956F96" w:rsidRDefault="00956F96" w:rsidP="00956F96">
      <w:pPr>
        <w:pStyle w:val="af9"/>
        <w:rPr>
          <w:spacing w:val="-8"/>
        </w:rPr>
      </w:pPr>
      <w:r>
        <w:rPr>
          <w:spacing w:val="-5"/>
        </w:rPr>
        <w:t>Пра</w:t>
      </w:r>
      <w:r>
        <w:rPr>
          <w:spacing w:val="-8"/>
        </w:rPr>
        <w:t xml:space="preserve">вовую помощь по вопросам нотариата организуют нотариусы, занимающиеся частной практикой. На территории региона в 20 нотариальных округах действуют 67 нотариусов. </w:t>
      </w:r>
    </w:p>
    <w:p w:rsidR="00956F96" w:rsidRDefault="00956F96" w:rsidP="00956F96">
      <w:pPr>
        <w:pStyle w:val="af9"/>
        <w:rPr>
          <w:spacing w:val="-8"/>
        </w:rPr>
      </w:pPr>
      <w:r>
        <w:rPr>
          <w:spacing w:val="-8"/>
        </w:rPr>
        <w:t xml:space="preserve">Несмотря на то, что в реестре нотариусов и лиц, сдавших квалификационный экзамен, имеются сведения о 31 лице, за последние три года Управление Минюста и областная Нотариальная палата испытывали трудности в замещении вакантных должностей нотариусов в городе Кедровом, </w:t>
      </w:r>
      <w:proofErr w:type="spellStart"/>
      <w:r>
        <w:rPr>
          <w:spacing w:val="-8"/>
        </w:rPr>
        <w:t>Колпашевском</w:t>
      </w:r>
      <w:proofErr w:type="spellEnd"/>
      <w:r>
        <w:rPr>
          <w:spacing w:val="-8"/>
        </w:rPr>
        <w:t xml:space="preserve"> и </w:t>
      </w:r>
      <w:proofErr w:type="spellStart"/>
      <w:r>
        <w:rPr>
          <w:spacing w:val="-8"/>
        </w:rPr>
        <w:t>Тегульдетском</w:t>
      </w:r>
      <w:proofErr w:type="spellEnd"/>
      <w:r>
        <w:rPr>
          <w:spacing w:val="-8"/>
        </w:rPr>
        <w:t xml:space="preserve"> районах. </w:t>
      </w:r>
    </w:p>
    <w:p w:rsidR="00956F96" w:rsidRDefault="00956F96" w:rsidP="00956F96">
      <w:pPr>
        <w:pStyle w:val="af9"/>
        <w:rPr>
          <w:spacing w:val="-8"/>
        </w:rPr>
      </w:pPr>
      <w:r>
        <w:rPr>
          <w:spacing w:val="-8"/>
        </w:rPr>
        <w:t xml:space="preserve">В </w:t>
      </w:r>
      <w:proofErr w:type="spellStart"/>
      <w:r>
        <w:rPr>
          <w:spacing w:val="-8"/>
        </w:rPr>
        <w:t>Колпашевском</w:t>
      </w:r>
      <w:proofErr w:type="spellEnd"/>
      <w:r>
        <w:rPr>
          <w:spacing w:val="-8"/>
        </w:rPr>
        <w:t xml:space="preserve"> районе конкурсы проводились по 2 раза в 2018 и в 2019 годах, в </w:t>
      </w:r>
      <w:proofErr w:type="spellStart"/>
      <w:r>
        <w:rPr>
          <w:spacing w:val="-8"/>
        </w:rPr>
        <w:t>Тегульдетском</w:t>
      </w:r>
      <w:proofErr w:type="spellEnd"/>
      <w:r>
        <w:rPr>
          <w:spacing w:val="-8"/>
        </w:rPr>
        <w:t xml:space="preserve"> районе конкурс состоялся после согласования вопроса о компенсации отдельных расходов нотариусу. В Кедровом три раза в этом году конкурс признавался несостоявшимся из-за отсутствия желающих принять в нем участие.</w:t>
      </w:r>
    </w:p>
    <w:p w:rsidR="00956F96" w:rsidRDefault="00956F96" w:rsidP="00956F96">
      <w:pPr>
        <w:pStyle w:val="af9"/>
        <w:rPr>
          <w:spacing w:val="-8"/>
        </w:rPr>
      </w:pPr>
      <w:r>
        <w:rPr>
          <w:spacing w:val="-6"/>
        </w:rPr>
        <w:t xml:space="preserve">В соответствии с Федеральным законом от 26.07.2019 № 226-ФЗ Правлением Нотариальной палаты в январе 2020 года утвержден график приема в населенных пунктах, где отсутствует нотариус и имеется потребность в совершении нотариальных действий. </w:t>
      </w:r>
      <w:r>
        <w:rPr>
          <w:spacing w:val="-8"/>
        </w:rPr>
        <w:t>Для организации эффективной работы нотариуса при выезде вне расположения нотариальной конторы администрациям соответствующих поселений предлагаем заранее информировать граждан о времени приема нотариусом,  вести предварительную запись на прием, предоставлять помещения для совершения нотариального действия с соблюдением требований по сохранению ее тайны.</w:t>
      </w:r>
    </w:p>
    <w:p w:rsidR="00956F96" w:rsidRDefault="00956F96" w:rsidP="00956F96">
      <w:pPr>
        <w:pStyle w:val="af9"/>
        <w:rPr>
          <w:spacing w:val="-8"/>
        </w:rPr>
      </w:pPr>
      <w:r>
        <w:rPr>
          <w:spacing w:val="-8"/>
        </w:rPr>
        <w:t xml:space="preserve">В январе 2021 года Нотариальная палата по согласованию с муниципалитетами сформирует график приема на текущий год. Он будет доступен на сайтах Управления и Нотариальной палаты. </w:t>
      </w:r>
    </w:p>
    <w:p w:rsidR="00956F96" w:rsidRDefault="00956F96" w:rsidP="00956F96">
      <w:pPr>
        <w:pStyle w:val="afe"/>
        <w:spacing w:before="113"/>
      </w:pPr>
      <w:r>
        <w:rPr>
          <w:spacing w:val="-5"/>
        </w:rPr>
        <w:t>— Можно ли говорить, что с созданием в 2014 году единой информационной системы началось развитие цифрового нотариата?</w:t>
      </w:r>
    </w:p>
    <w:p w:rsidR="00956F96" w:rsidRDefault="00956F96" w:rsidP="00956F96">
      <w:pPr>
        <w:pStyle w:val="af9"/>
        <w:rPr>
          <w:spacing w:val="-8"/>
        </w:rPr>
      </w:pPr>
      <w:r>
        <w:rPr>
          <w:spacing w:val="-5"/>
        </w:rPr>
        <w:t>— Конечно. Более того, в силу Федерального закона от 27.12.2019 № 480-ФЗ нотариату открываются новые возможности: будет доступно больше правовых инструментов в электронном формате. Например, удаленное обращение к нотариусу для совершения нотариальных действий, дистанционное оформление сделок с участием двух и более нотариусов, передача нотариусу на хранение электронных документов, идентификация лица через биометрию в нотариальных конторах.</w:t>
      </w:r>
    </w:p>
    <w:p w:rsidR="00956F96" w:rsidRDefault="00956F96" w:rsidP="00956F96">
      <w:pPr>
        <w:pStyle w:val="af9"/>
        <w:rPr>
          <w:spacing w:val="-6"/>
        </w:rPr>
      </w:pPr>
      <w:r>
        <w:rPr>
          <w:spacing w:val="-6"/>
        </w:rPr>
        <w:t>Без визита в нотариальную контору можно будет, например, засвидетельствовать верность перевода; принять в депозит денежные средства и ценные бумаги; взыскать денежные суммы или истребовать имущество от должника; выдать выписки из реестра уведомлений о залоге движимого имущества; удостоверить равнозначность, представленного нотариусу документа.</w:t>
      </w:r>
    </w:p>
    <w:p w:rsidR="00956F96" w:rsidRDefault="00956F96" w:rsidP="00956F96">
      <w:pPr>
        <w:pStyle w:val="af9"/>
        <w:rPr>
          <w:spacing w:val="-6"/>
        </w:rPr>
      </w:pPr>
      <w:r>
        <w:rPr>
          <w:spacing w:val="-6"/>
        </w:rPr>
        <w:lastRenderedPageBreak/>
        <w:t xml:space="preserve">В настоящее время проводится масштабная работа по подготовке технической базы нотариата, необходимой для внедрения новых нотариальных сервисов. </w:t>
      </w:r>
    </w:p>
    <w:p w:rsidR="00956F96" w:rsidRDefault="00956F96" w:rsidP="00956F96">
      <w:pPr>
        <w:pStyle w:val="af9"/>
        <w:rPr>
          <w:spacing w:val="-6"/>
        </w:rPr>
      </w:pPr>
      <w:r>
        <w:rPr>
          <w:spacing w:val="-6"/>
        </w:rPr>
        <w:t>В 42 поселениях Томской области, где отсутствует нотариус, решение о совершении отдельных нотариальных действий приняли 61 должностное лицо органов местного самоуправления.</w:t>
      </w:r>
    </w:p>
    <w:p w:rsidR="00956F96" w:rsidRDefault="00956F96" w:rsidP="00956F96">
      <w:pPr>
        <w:pStyle w:val="af9"/>
        <w:rPr>
          <w:spacing w:val="-6"/>
        </w:rPr>
      </w:pPr>
      <w:r>
        <w:rPr>
          <w:spacing w:val="-6"/>
        </w:rPr>
        <w:t>Оказание им методической помощи является для нас одним из приоритетных направлений, и онлайн-площадка Совета муниципальных образований — самый удобный сервис для организации этой работы. В 2020 г.</w:t>
      </w:r>
    </w:p>
    <w:p w:rsidR="00956F96" w:rsidRDefault="00956F96" w:rsidP="00956F96">
      <w:pPr>
        <w:pStyle w:val="af9"/>
        <w:rPr>
          <w:spacing w:val="-6"/>
        </w:rPr>
      </w:pPr>
      <w:r>
        <w:rPr>
          <w:spacing w:val="-6"/>
        </w:rPr>
        <w:t>оду совместно с областной Нотариальной палатой мы провели в таком формате семинар.</w:t>
      </w:r>
    </w:p>
    <w:p w:rsidR="00956F96" w:rsidRDefault="00956F96" w:rsidP="00956F96">
      <w:pPr>
        <w:pStyle w:val="afe"/>
        <w:rPr>
          <w:spacing w:val="-4"/>
        </w:rPr>
      </w:pPr>
      <w:r>
        <w:rPr>
          <w:spacing w:val="-4"/>
        </w:rPr>
        <w:t xml:space="preserve">— </w:t>
      </w:r>
      <w:r>
        <w:rPr>
          <w:spacing w:val="-2"/>
        </w:rPr>
        <w:t xml:space="preserve"> Коснулась ли </w:t>
      </w:r>
      <w:proofErr w:type="spellStart"/>
      <w:r>
        <w:rPr>
          <w:spacing w:val="-2"/>
        </w:rPr>
        <w:t>цифровизация</w:t>
      </w:r>
      <w:proofErr w:type="spellEnd"/>
      <w:r>
        <w:rPr>
          <w:spacing w:val="-2"/>
        </w:rPr>
        <w:t xml:space="preserve"> каких-то еще сфер деятельности, курируемых Управлением?</w:t>
      </w:r>
    </w:p>
    <w:p w:rsidR="00956F96" w:rsidRDefault="00956F96" w:rsidP="00956F96">
      <w:pPr>
        <w:pStyle w:val="af9"/>
        <w:rPr>
          <w:spacing w:val="-6"/>
        </w:rPr>
      </w:pPr>
      <w:r>
        <w:rPr>
          <w:spacing w:val="-6"/>
        </w:rPr>
        <w:t xml:space="preserve">В 2020 году областной Департамент ЗАГС при непосредственном участии Федеральной  налоговой службы, Минюста и Минфина России завершил работу по переводу записей актов гражданского состояния в конвертируемую (преобразуемую) форму  электронного документа в единый государственный реестр записей актов гражданского состояния (сокращенно – ЕГР ЗАГС). </w:t>
      </w:r>
    </w:p>
    <w:p w:rsidR="00956F96" w:rsidRDefault="00956F96" w:rsidP="00956F96">
      <w:pPr>
        <w:pStyle w:val="afe"/>
        <w:rPr>
          <w:rFonts w:ascii="PT Serif Caption" w:hAnsi="PT Serif Caption" w:cs="PT Serif Caption"/>
          <w:i w:val="0"/>
          <w:iCs w:val="0"/>
          <w:sz w:val="20"/>
          <w:szCs w:val="20"/>
        </w:rPr>
      </w:pPr>
      <w:r>
        <w:rPr>
          <w:rFonts w:ascii="PT Serif Caption" w:hAnsi="PT Serif Caption" w:cs="PT Serif Caption"/>
          <w:i w:val="0"/>
          <w:iCs w:val="0"/>
          <w:sz w:val="20"/>
          <w:szCs w:val="20"/>
        </w:rPr>
        <w:t xml:space="preserve">Налоговая служба, являясь оператором ЕГР ЗАГС, анонсировала, что указанная база данных обеспечит онлайн доступ к ранее составленным актовым записям, независимо от места их нахождения на территории России, а также послужит основой для создания единого федерального информационного ресурса, содержащего сведения о населении РФ. </w:t>
      </w:r>
    </w:p>
    <w:p w:rsidR="00A741F1" w:rsidRPr="00A741F1" w:rsidRDefault="00A741F1" w:rsidP="00A741F1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pacing w:val="-4"/>
          <w:sz w:val="18"/>
          <w:szCs w:val="18"/>
          <w:lang w:eastAsia="en-US"/>
        </w:rPr>
      </w:pPr>
      <w:r w:rsidRPr="00A741F1">
        <w:rPr>
          <w:rFonts w:ascii="Helvetica Light Oblique" w:eastAsiaTheme="minorHAnsi" w:hAnsi="Helvetica Light Oblique" w:cs="Helvetica Light Oblique"/>
          <w:i/>
          <w:iCs/>
          <w:color w:val="3C3C3B"/>
          <w:spacing w:val="-4"/>
          <w:sz w:val="18"/>
          <w:szCs w:val="18"/>
          <w:lang w:eastAsia="en-US"/>
        </w:rPr>
        <w:t xml:space="preserve">На 01.12.2020 по данным Департамента ЗАГС сведения о количестве успешно принятых в ЕГР ЗАГС конвертированных записей актов гражданского состояния за период 1926-2018 гг. составили 3 773 671, в том числе 219 507 — в отношении семей имеющих детей в возрасте до 16 лет. </w:t>
      </w:r>
    </w:p>
    <w:p w:rsidR="00956F96" w:rsidRDefault="00956F96" w:rsidP="00956F96">
      <w:pPr>
        <w:pStyle w:val="afe"/>
        <w:rPr>
          <w:rFonts w:ascii="PT Serif Caption" w:hAnsi="PT Serif Caption" w:cs="PT Serif Caption"/>
          <w:i w:val="0"/>
          <w:iCs w:val="0"/>
          <w:spacing w:val="-6"/>
          <w:sz w:val="20"/>
          <w:szCs w:val="20"/>
        </w:rPr>
      </w:pPr>
      <w:r>
        <w:rPr>
          <w:rFonts w:ascii="PT Serif Caption" w:hAnsi="PT Serif Caption" w:cs="PT Serif Caption"/>
          <w:i w:val="0"/>
          <w:iCs w:val="0"/>
          <w:spacing w:val="-6"/>
          <w:sz w:val="20"/>
          <w:szCs w:val="20"/>
        </w:rPr>
        <w:t xml:space="preserve">Предоставление сведений о государственной регистрации актов гражданского состояния, содержащихся в Едином государственном реестре, в электронной форме осуществляется посредством использования единой системы межведомственного электронного взаимодействия. </w:t>
      </w:r>
    </w:p>
    <w:p w:rsidR="00956F96" w:rsidRDefault="00956F96" w:rsidP="00956F96">
      <w:pPr>
        <w:pStyle w:val="afe"/>
        <w:rPr>
          <w:rFonts w:ascii="PT Serif Caption" w:hAnsi="PT Serif Caption" w:cs="PT Serif Caption"/>
          <w:i w:val="0"/>
          <w:iCs w:val="0"/>
          <w:spacing w:val="-6"/>
          <w:sz w:val="20"/>
          <w:szCs w:val="20"/>
        </w:rPr>
      </w:pPr>
      <w:r>
        <w:rPr>
          <w:spacing w:val="-4"/>
        </w:rPr>
        <w:t>— Управление Минюста по Томской области и Совет муниципальных образований в ноябре 2008 года заключили Соглашение о взаимодействии.</w:t>
      </w:r>
    </w:p>
    <w:p w:rsidR="00956F96" w:rsidRDefault="00956F96" w:rsidP="00956F96">
      <w:pPr>
        <w:pStyle w:val="afe"/>
        <w:rPr>
          <w:rFonts w:ascii="PT Serif Caption" w:hAnsi="PT Serif Caption" w:cs="PT Serif Caption"/>
          <w:i w:val="0"/>
          <w:iCs w:val="0"/>
          <w:spacing w:val="-6"/>
          <w:sz w:val="20"/>
          <w:szCs w:val="20"/>
        </w:rPr>
      </w:pPr>
      <w:r>
        <w:rPr>
          <w:rFonts w:ascii="PT Serif Caption" w:hAnsi="PT Serif Caption" w:cs="PT Serif Caption"/>
          <w:i w:val="0"/>
          <w:iCs w:val="0"/>
          <w:spacing w:val="-6"/>
          <w:sz w:val="20"/>
          <w:szCs w:val="20"/>
        </w:rPr>
        <w:t xml:space="preserve">— И, стоит сказать, что все эти </w:t>
      </w:r>
      <w:proofErr w:type="gramStart"/>
      <w:r>
        <w:rPr>
          <w:rFonts w:ascii="PT Serif Caption" w:hAnsi="PT Serif Caption" w:cs="PT Serif Caption"/>
          <w:i w:val="0"/>
          <w:iCs w:val="0"/>
          <w:spacing w:val="-6"/>
          <w:sz w:val="20"/>
          <w:szCs w:val="20"/>
        </w:rPr>
        <w:t>годы</w:t>
      </w:r>
      <w:proofErr w:type="gramEnd"/>
      <w:r>
        <w:rPr>
          <w:rFonts w:ascii="PT Serif Caption" w:hAnsi="PT Serif Caption" w:cs="PT Serif Caption"/>
          <w:i w:val="0"/>
          <w:iCs w:val="0"/>
          <w:spacing w:val="-6"/>
          <w:sz w:val="20"/>
          <w:szCs w:val="20"/>
        </w:rPr>
        <w:t xml:space="preserve"> достигнутые договоренности соблюдались. Например, такие выездные мероприятия как «День Юстиции» проходили с участием Ассоциации. Сейчас в связи со сложной эпидемиологической ситуацией, в целях правового информирования граждан, мы предлагаем активнее использовать периодические печатные издания и сайты муниципалитетов.</w:t>
      </w:r>
    </w:p>
    <w:p w:rsidR="00956F96" w:rsidRDefault="00956F96" w:rsidP="00956F96">
      <w:pPr>
        <w:pStyle w:val="af9"/>
        <w:rPr>
          <w:spacing w:val="-6"/>
        </w:rPr>
      </w:pPr>
      <w:r>
        <w:rPr>
          <w:spacing w:val="-6"/>
        </w:rPr>
        <w:t>Также от лица Управления хочу поблагодарить редакцию «Вестника» за возможность обсуждать на страницах журнала актуальные для муниципалитетов и Минюста России темы.</w:t>
      </w:r>
    </w:p>
    <w:p w:rsidR="00CE6AA0" w:rsidRPr="00CE6AA0" w:rsidRDefault="00CE6AA0" w:rsidP="00956F96">
      <w:pPr>
        <w:pStyle w:val="af9"/>
        <w:ind w:firstLine="0"/>
      </w:pPr>
    </w:p>
    <w:sectPr w:rsidR="00CE6AA0" w:rsidRPr="00CE6AA0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F1" w:rsidRDefault="00A741F1" w:rsidP="002868CF">
      <w:r>
        <w:separator/>
      </w:r>
    </w:p>
  </w:endnote>
  <w:endnote w:type="continuationSeparator" w:id="0">
    <w:p w:rsidR="00A741F1" w:rsidRDefault="00A741F1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F1" w:rsidRDefault="00A741F1" w:rsidP="002868CF">
      <w:r>
        <w:separator/>
      </w:r>
    </w:p>
  </w:footnote>
  <w:footnote w:type="continuationSeparator" w:id="0">
    <w:p w:rsidR="00A741F1" w:rsidRDefault="00A741F1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F1" w:rsidRPr="00B05AC3" w:rsidRDefault="00A741F1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</w:t>
    </w:r>
    <w:r>
      <w:rPr>
        <w:rFonts w:ascii="Myriad Pro" w:hAnsi="Myriad Pro"/>
        <w:sz w:val="20"/>
        <w:szCs w:val="20"/>
      </w:rPr>
      <w:t xml:space="preserve">ОКТЯБРЬ-ДЕКАБРЬ  </w:t>
    </w:r>
    <w:r>
      <w:rPr>
        <w:rFonts w:ascii="Myriad Pro" w:hAnsi="Myriad Pro"/>
        <w:color w:val="auto"/>
        <w:sz w:val="20"/>
        <w:szCs w:val="20"/>
      </w:rPr>
      <w:t>2020</w:t>
    </w:r>
  </w:p>
  <w:p w:rsidR="00A741F1" w:rsidRDefault="00A741F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A741F1" w:rsidRDefault="00A741F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A741F1" w:rsidRPr="00B05AC3" w:rsidRDefault="00A741F1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3F05E7A"/>
    <w:multiLevelType w:val="hybridMultilevel"/>
    <w:tmpl w:val="5300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254D9"/>
    <w:multiLevelType w:val="hybridMultilevel"/>
    <w:tmpl w:val="B756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2EA6"/>
    <w:rsid w:val="002B3D12"/>
    <w:rsid w:val="002D65BE"/>
    <w:rsid w:val="002D71DA"/>
    <w:rsid w:val="002E270B"/>
    <w:rsid w:val="002F399B"/>
    <w:rsid w:val="0030446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12343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D4C1A"/>
    <w:rsid w:val="008F0054"/>
    <w:rsid w:val="00912CD7"/>
    <w:rsid w:val="00913A5C"/>
    <w:rsid w:val="00922C89"/>
    <w:rsid w:val="00932D6D"/>
    <w:rsid w:val="009372B5"/>
    <w:rsid w:val="00956F96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41F1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CE6AA0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04B1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B0FB9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List Paragraph"/>
    <w:basedOn w:val="a"/>
    <w:uiPriority w:val="34"/>
    <w:qFormat/>
    <w:rsid w:val="002B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22</cp:revision>
  <dcterms:created xsi:type="dcterms:W3CDTF">2018-01-22T02:08:00Z</dcterms:created>
  <dcterms:modified xsi:type="dcterms:W3CDTF">2020-12-28T04:52:00Z</dcterms:modified>
</cp:coreProperties>
</file>