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3" w:rsidRPr="003C2600" w:rsidRDefault="003C2600" w:rsidP="005C0946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Georgia"/>
          <w:i/>
          <w:iCs/>
          <w:color w:val="000000"/>
          <w:sz w:val="18"/>
          <w:szCs w:val="18"/>
          <w:lang w:eastAsia="en-US"/>
        </w:rPr>
      </w:pPr>
      <w:r w:rsidRPr="003C2600">
        <w:rPr>
          <w:rFonts w:ascii="Roboto" w:eastAsiaTheme="minorHAnsi" w:hAnsi="Roboto" w:cs="Roboto Bold"/>
          <w:b/>
          <w:bCs/>
          <w:color w:val="3C3C3B"/>
          <w:sz w:val="72"/>
          <w:szCs w:val="72"/>
          <w:lang w:eastAsia="en-US"/>
        </w:rPr>
        <w:t>ОБЪЯВЛЕНА «ГАРАЖНАЯ АМНИСТИЯ»</w:t>
      </w:r>
    </w:p>
    <w:p w:rsidR="005C0946" w:rsidRDefault="005C0946" w:rsidP="00CA1DA3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Roboto Bold"/>
          <w:bCs/>
          <w:i/>
          <w:color w:val="3C3C3B"/>
          <w:sz w:val="24"/>
          <w:szCs w:val="24"/>
          <w:lang w:eastAsia="en-US"/>
        </w:rPr>
      </w:pPr>
      <w:r w:rsidRPr="005C0946">
        <w:rPr>
          <w:rFonts w:ascii="Helvetica Light Oblique" w:eastAsiaTheme="minorHAnsi" w:hAnsi="Helvetica Light Oblique" w:cs="Roboto Bold"/>
          <w:bCs/>
          <w:i/>
          <w:color w:val="3C3C3B"/>
          <w:sz w:val="24"/>
          <w:szCs w:val="24"/>
          <w:lang w:eastAsia="en-US"/>
        </w:rPr>
        <w:t>С 1 сентября 2021 года вступил в силу Федеральный закон № 79-ФЗ «О внесении изменений в отдельные законодательные акты Российской Федерации». Он был принят в целях упрощения для граждан процедуры оформления прав на гаражи и земельные участки, на которых они расположены («гаражная амнистия»). И теперь эта тема — в актуальной повестке муниципалитетов.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По подсчетам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Росреестра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, новый масштабный федеральный проект затронет порядка 3,5 </w:t>
      </w:r>
      <w:proofErr w:type="gram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млн</w:t>
      </w:r>
      <w:proofErr w:type="gram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россиян: именно столько незарегистрированных гаражей числится на территории страны по данным ЕГРН. Но этот показатель может быть гораздо выше.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Закон № 79-ФЗ будет действовать 5 лет – до 1 сентября 2026 года. За это время необходимо его эффективно реализовать, предварительно отработав процедуру на всех уровнях власти.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Нововведения распространяется на объекты гаражного назначения, возведенные до 30 декабря 2004 года, то есть до введения в действие Градостроительного кодекса РФ. Речь идет об объектах капитального строительства, в том числе о тех, которые находятся в гаражно-строительных кооперативах. Земля, на которой они расположены, должна быть государственной или муниципальной.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Не подпадают под действие Закона самовольные постройки и подземные гаражи в многоэтажных домах и офисных комплексах, гаражи типа «ракушка», а также гаражи, возведенные после вступления в силу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ГрК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РФ.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Законом предусмотрена возможность не только оформления самого гаража, но и бесплатного предоставления земли под ним.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Если земельный участок под  объектом не </w:t>
      </w:r>
      <w:proofErr w:type="gram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стоит на кадастровом учете</w:t>
      </w:r>
      <w:proofErr w:type="gram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, его надо будет образовать. Для этого необходимо подготовить схему границ земельного участка под гаражом в соответствии с установленными правилами.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— Управление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Росреестра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по Томской области рекомендует гражданам заранее обратиться в местную администрацию, поскольку Закон о гаражной амнистии предусматривает возможность выполнения кадастровых работ за счет бюджета, — отмечает руководитель Управления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Росреестра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по Томской области Елена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Золоткова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Для оформления прав гражданам понадобятся следующие документы: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любое решение органа власти (в том числе советского периода), подтверждающие, что ранее гражданину был предоставлен земельный участок под гаражом;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любое решение завода, совхоза, колхоза или иного предприятия, при котором был построен гараж;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справка или иной документ, подтверждающий выплату пая в гаражном кооперативе;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решение общего собрания гаражного кооператива, подтверждающее распределение гаражей гражданам (конкретному лицу);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старый технический паспорт на гараж;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lastRenderedPageBreak/>
        <w:t xml:space="preserve"> документы о подключении гаража к электрическим сетям или иным сетям инженерного обеспечения;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документы о наследстве, если гараж принадлежал наследодателю гражданина;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документы, подтверждающие приобретение гражданином гаража у другого лица.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Кроме этого, Федеральный закон № 79-ФЗ наделил органы власти субъектов РФ правом определить другие документы, которые можно предоставить для оформления прав на гараж, если перечисленные отсутствуют у гражданина. 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Реализуя это право, Законодательная Дума Томской области 19 августа текущего года приняла Закон № 90-ОЗ, который также вступил в силу 1 сентября 2021 года. В нем предусмотрено восемь категорий дополнительных документов.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госпошлину. 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Надо сказать, что некоторые муниципалитеты уже активно включились в тему: изучают нормативную базу, прорабатывают процедуру, моделируют возможные ситуации, задают вопросы.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Так, например, Советом муниципальных образований по просьбе администрации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Кожевниковского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района направлен запрос в Департамент по управлению государственной собственностью Томской области с просьбой </w:t>
      </w:r>
      <w:proofErr w:type="gram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сориентировать</w:t>
      </w:r>
      <w:proofErr w:type="gram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муниципалитеты по срокам принятия областной администрацией двух порядков, которые предусмотрены Законом Томской области № 90-ОЗ и необходимы для работы по «гаражной амнистии»: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порядок утверждения органами местного самоуправления схемы размещения гаражей, являющихся некапитальными сооружениями;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порядок определения платы за использование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Ждем ответа Департамента. Информация будет направлена во все местные администрации.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Следует отметить также работу специалистов Департамента управления муниципальной собственностью администрации города Томска, которые обобщили и проанализировали уже поступающие обращения заинтересованных граждан. Как выясняется, вариантов развития событий может быть масса. И многие из них требуют индивидуального подхода.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Например, такая ситуация: на земельном участке, находящемся в аренде с множественностью лиц на стороне арендатора, расположена линейка гаражей, часть из которых в федеральной собственности. Разграничения госсобственности не проведено. Возникает вопрос, как поступать в этом случае. 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Для разрешения на начальном этапе первых вопросов реализации положений «гаражной амнистии» Советом муниципальных образований на октябрь этого года запланировано проведение обучающего семинара со специалистами Управления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Росреестра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по Томской области, которые готовы дать необходимые разъяснения.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Кроме того,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Росреестр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 xml:space="preserve"> разработал методические рекомендации с пошаговой инструкцией, как воспользоваться новым законом о «гаражной амнистии». С ними можно ознакомиться на сайте </w:t>
      </w:r>
      <w:proofErr w:type="spellStart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Росреестра</w:t>
      </w:r>
      <w:proofErr w:type="spellEnd"/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t>.</w:t>
      </w:r>
    </w:p>
    <w:p w:rsid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</w:pPr>
      <w:r w:rsidRPr="005C0946">
        <w:rPr>
          <w:rFonts w:ascii="PT Serif Caption" w:eastAsiaTheme="minorHAnsi" w:hAnsi="PT Serif Caption" w:cs="PT Serif Caption"/>
          <w:b/>
          <w:color w:val="3C3C3B"/>
          <w:sz w:val="20"/>
          <w:szCs w:val="20"/>
          <w:lang w:eastAsia="en-US"/>
        </w:rPr>
        <w:lastRenderedPageBreak/>
        <w:t>Со своей стороны Совет муниципальных образований готов к взаимодействию со всеми участниками процесса и оказанию муниципалитетам поддержки в разрешении возникающих вопросов. Главное их вовремя задать.</w:t>
      </w:r>
      <w:r w:rsidRPr="005C0946">
        <w:t xml:space="preserve"> 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Одним из ключевых вопросов применения Закона «О гаражной амнистии» является разграничение капитальных и некапитальных гаражей, поскольку данное обстоятельство будет влиять на механизм оформления земли под ними. 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>Из совокупного толкования положений Гражданского кодекса РФ, Градостроительного кодекса РФ и сложившейся судебной практики можно определить следующие признаки, позволяющие отнести объект к капитальным гаражам (гаражам, относящимся к недвижимости):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 объект связан с землей так, что его перемещение без несоразмерного ущерба его назначению невозможно (например, у объекта имеется фундамент);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 он создан из строительных материалов, используемых для капитального строительства,</w:t>
      </w:r>
      <w:r w:rsidR="0092763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>таких как кирпич, бетонные плиты и т.д.;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 у объекта имеется присоединение к сетям инженерно-технического обеспечения; </w:t>
      </w:r>
    </w:p>
    <w:p w:rsidR="005C0946" w:rsidRPr="005C0946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 у объекта имеются стены и крыша; </w:t>
      </w:r>
    </w:p>
    <w:p w:rsidR="00CA1DA3" w:rsidRDefault="005C0946" w:rsidP="005C0946">
      <w:pPr>
        <w:autoSpaceDE w:val="0"/>
        <w:autoSpaceDN w:val="0"/>
        <w:adjustRightInd w:val="0"/>
        <w:spacing w:before="113"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5C0946">
        <w:rPr>
          <w:rFonts w:ascii="PT Serif Caption" w:eastAsiaTheme="minorHAnsi" w:hAnsi="PT Serif Caption" w:cs="PT Serif Caption"/>
          <w:b/>
          <w:i/>
          <w:color w:val="3C3C3B"/>
          <w:sz w:val="20"/>
          <w:szCs w:val="20"/>
          <w:lang w:eastAsia="en-US"/>
        </w:rPr>
        <w:t xml:space="preserve"> объект был возведен на предоставленном (или выделенном иным образом) для его строительства земельном участке.</w:t>
      </w:r>
    </w:p>
    <w:sectPr w:rsidR="00CA1DA3" w:rsidSect="00055904">
      <w:headerReference w:type="default" r:id="rId9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63" w:rsidRDefault="00374863" w:rsidP="002868CF">
      <w:r>
        <w:separator/>
      </w:r>
    </w:p>
  </w:endnote>
  <w:endnote w:type="continuationSeparator" w:id="0">
    <w:p w:rsidR="00374863" w:rsidRDefault="00374863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63" w:rsidRDefault="00374863" w:rsidP="002868CF">
      <w:r>
        <w:separator/>
      </w:r>
    </w:p>
  </w:footnote>
  <w:footnote w:type="continuationSeparator" w:id="0">
    <w:p w:rsidR="00374863" w:rsidRDefault="00374863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Pr="00B05AC3" w:rsidRDefault="0037486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</w:t>
    </w:r>
    <w:r w:rsidR="00755A37">
      <w:rPr>
        <w:rFonts w:ascii="Myriad Pro" w:hAnsi="Myriad Pro"/>
        <w:b/>
        <w:color w:val="auto"/>
      </w:rPr>
      <w:t xml:space="preserve">                             </w:t>
    </w:r>
    <w:r w:rsidR="00755A37">
      <w:rPr>
        <w:rFonts w:ascii="Myriad Pro" w:hAnsi="Myriad Pro"/>
        <w:color w:val="auto"/>
        <w:sz w:val="20"/>
        <w:szCs w:val="20"/>
      </w:rPr>
      <w:t>ИЮЛЬ-СЕНТЯБРЬ  2021</w:t>
    </w:r>
  </w:p>
  <w:p w:rsidR="00374863" w:rsidRDefault="0092763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374863" w:rsidRDefault="0037486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374863" w:rsidRPr="00B05AC3" w:rsidRDefault="0037486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74863"/>
    <w:rsid w:val="00380064"/>
    <w:rsid w:val="00383DD9"/>
    <w:rsid w:val="00387B45"/>
    <w:rsid w:val="00397219"/>
    <w:rsid w:val="003A06FF"/>
    <w:rsid w:val="003A3668"/>
    <w:rsid w:val="003C2600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075A"/>
    <w:rsid w:val="00585C9C"/>
    <w:rsid w:val="0059058A"/>
    <w:rsid w:val="00590747"/>
    <w:rsid w:val="005948FE"/>
    <w:rsid w:val="005C0946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55A37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27636"/>
    <w:rsid w:val="00932D6D"/>
    <w:rsid w:val="009372B5"/>
    <w:rsid w:val="00974C9F"/>
    <w:rsid w:val="009810DB"/>
    <w:rsid w:val="00991BBB"/>
    <w:rsid w:val="009B2B5E"/>
    <w:rsid w:val="009C27E8"/>
    <w:rsid w:val="009E2A20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A1DA3"/>
    <w:rsid w:val="00CC261A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6E53-3182-45F2-8C90-79D2051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22</cp:revision>
  <dcterms:created xsi:type="dcterms:W3CDTF">2018-01-22T02:08:00Z</dcterms:created>
  <dcterms:modified xsi:type="dcterms:W3CDTF">2021-10-07T08:30:00Z</dcterms:modified>
</cp:coreProperties>
</file>