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1B" w:rsidRPr="00EB72BC" w:rsidRDefault="00EB72BC" w:rsidP="007A1A1B">
      <w:pPr>
        <w:autoSpaceDE w:val="0"/>
        <w:autoSpaceDN w:val="0"/>
        <w:adjustRightInd w:val="0"/>
        <w:spacing w:after="0" w:line="361" w:lineRule="atLeast"/>
        <w:ind w:firstLine="0"/>
        <w:rPr>
          <w:rFonts w:ascii="Roboto Bold" w:eastAsiaTheme="minorHAnsi" w:hAnsi="Roboto Bold" w:cs="Roboto"/>
          <w:color w:val="000000"/>
          <w:sz w:val="48"/>
          <w:szCs w:val="48"/>
          <w:lang w:eastAsia="en-US"/>
        </w:rPr>
      </w:pPr>
      <w:r w:rsidRPr="00EB72BC">
        <w:rPr>
          <w:rFonts w:eastAsiaTheme="minorHAnsi" w:cs="Roboto"/>
          <w:b/>
          <w:bCs/>
          <w:color w:val="000000"/>
          <w:sz w:val="48"/>
          <w:szCs w:val="48"/>
          <w:lang w:eastAsia="en-US"/>
        </w:rPr>
        <w:t>В ЦЕНТРЕ ВНИМАНИЯ</w:t>
      </w:r>
      <w:r w:rsidR="007A1A1B" w:rsidRPr="00EB72BC">
        <w:rPr>
          <w:rFonts w:ascii="Roboto Bold" w:eastAsiaTheme="minorHAnsi" w:hAnsi="Roboto Bold" w:cs="Roboto"/>
          <w:b/>
          <w:bCs/>
          <w:color w:val="000000"/>
          <w:sz w:val="48"/>
          <w:szCs w:val="48"/>
          <w:lang w:eastAsia="en-US"/>
        </w:rPr>
        <w:t xml:space="preserve"> 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EB72BC" w:rsidRDefault="00EB72BC" w:rsidP="00374863">
      <w:pPr>
        <w:pStyle w:val="af9"/>
        <w:rPr>
          <w:rFonts w:asciiTheme="minorHAnsi" w:hAnsiTheme="minorHAnsi"/>
          <w:b/>
          <w:iCs/>
          <w:color w:val="000000"/>
          <w:sz w:val="28"/>
          <w:szCs w:val="28"/>
        </w:rPr>
      </w:pPr>
      <w:r w:rsidRPr="00EB72BC">
        <w:rPr>
          <w:rFonts w:ascii="Roboto Bold" w:hAnsi="Roboto Bold"/>
          <w:b/>
          <w:iCs/>
          <w:color w:val="000000"/>
          <w:sz w:val="28"/>
          <w:szCs w:val="28"/>
        </w:rPr>
        <w:t>По поручению 18-го общего собрания глав районов, городов и поселений Томской области (Съезда) Президиум Совета муниципальных образований доработал Резолюцию Съезда и направил ее для рассмотрения в Администрацию Томской области и региональный парламент.</w:t>
      </w:r>
    </w:p>
    <w:p w:rsidR="000D4402" w:rsidRPr="00EB72BC" w:rsidRDefault="00EB72BC" w:rsidP="00EB72BC">
      <w:pPr>
        <w:pStyle w:val="af9"/>
        <w:rPr>
          <w:rFonts w:ascii="Roboto Bold" w:hAnsi="Roboto Bold"/>
          <w:b/>
          <w:iCs/>
          <w:color w:val="000000"/>
          <w:sz w:val="16"/>
          <w:szCs w:val="16"/>
        </w:rPr>
      </w:pPr>
      <w:r w:rsidRPr="00EB72BC">
        <w:rPr>
          <w:rFonts w:ascii="Roboto Bold" w:hAnsi="Roboto Bold"/>
          <w:b/>
          <w:iCs/>
          <w:color w:val="000000"/>
          <w:sz w:val="16"/>
          <w:szCs w:val="16"/>
        </w:rPr>
        <w:t>18-й Съезд Ассоциации «Совет муниципальных образований Томской области» состоялся 21 апреля 2022 года - в День местного самоуправления</w:t>
      </w:r>
      <w:r w:rsidR="000D4402" w:rsidRPr="00EB72BC">
        <w:rPr>
          <w:rFonts w:ascii="Roboto Bold" w:hAnsi="Roboto Bold"/>
          <w:b/>
          <w:iCs/>
          <w:color w:val="000000"/>
          <w:sz w:val="16"/>
          <w:szCs w:val="16"/>
        </w:rPr>
        <w:t xml:space="preserve"> </w:t>
      </w:r>
    </w:p>
    <w:p w:rsidR="00EB72BC" w:rsidRPr="00EB72BC" w:rsidRDefault="00EB72BC" w:rsidP="00EB72BC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color w:val="000000"/>
          <w:sz w:val="24"/>
          <w:szCs w:val="24"/>
          <w:lang w:eastAsia="en-US"/>
        </w:rPr>
        <w:t xml:space="preserve">Участники Съезда отметили, что на фоне жестких внешних вызовов для России требуется более высокий уровень координации деятельности органов местного самоуправления и органов государственной власти Томской области по решению задач, стоящих перед органами власти всех уровней, перед органами местного самоуправления, перед государством в целом. </w:t>
      </w:r>
    </w:p>
    <w:p w:rsidR="000D4402" w:rsidRPr="00EB72BC" w:rsidRDefault="00EB72BC" w:rsidP="00EB72BC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color w:val="000000"/>
          <w:sz w:val="24"/>
          <w:szCs w:val="24"/>
          <w:lang w:eastAsia="en-US"/>
        </w:rPr>
        <w:t>Также муниципалы Томской области выразили поддержку действиям Президента России, Правительства РФ по повышению устойчивости экономики и помощи гражданам в условиях санкций.</w:t>
      </w:r>
    </w:p>
    <w:p w:rsidR="00361E76" w:rsidRPr="00EB72BC" w:rsidRDefault="00EB72BC" w:rsidP="00EB72BC">
      <w:pPr>
        <w:autoSpaceDE w:val="0"/>
        <w:autoSpaceDN w:val="0"/>
        <w:adjustRightInd w:val="0"/>
        <w:spacing w:after="140" w:line="201" w:lineRule="atLeast"/>
        <w:ind w:left="1701" w:right="991" w:firstLine="280"/>
        <w:jc w:val="center"/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</w:pPr>
      <w:r w:rsidRPr="00EB72BC"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>– Беспрецедентный уровень санкций и внешнего воздействия на нашу страну требует от каждого концентрации сил и ресурсов, – отметил в своем отчетном докладе председ</w:t>
      </w:r>
      <w:bookmarkStart w:id="0" w:name="_GoBack"/>
      <w:bookmarkEnd w:id="0"/>
      <w:r w:rsidRPr="00EB72BC"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 xml:space="preserve">атель Совета Григорий Андреевич </w:t>
      </w:r>
      <w:proofErr w:type="spellStart"/>
      <w:r w:rsidRPr="00EB72BC"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>Шамин</w:t>
      </w:r>
      <w:proofErr w:type="spellEnd"/>
      <w:r w:rsidRPr="00EB72BC"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>. – Цель для всех одна – не просто устоять, а развиваться. И если не работают прежние методы – необходимо искать новые.</w:t>
      </w:r>
      <w:r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 xml:space="preserve"> </w:t>
      </w:r>
      <w:r w:rsidRPr="00EB72BC"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  <w:t>На это нас нацеливают Президент и Правительство Российской Федерации.</w:t>
      </w:r>
    </w:p>
    <w:p w:rsidR="006F2BCF" w:rsidRPr="00EB72BC" w:rsidRDefault="006F2BCF" w:rsidP="00EB72BC">
      <w:pPr>
        <w:autoSpaceDE w:val="0"/>
        <w:autoSpaceDN w:val="0"/>
        <w:adjustRightInd w:val="0"/>
        <w:spacing w:after="140" w:line="201" w:lineRule="atLeast"/>
        <w:ind w:left="1701" w:right="991" w:firstLine="280"/>
        <w:jc w:val="left"/>
        <w:rPr>
          <w:rFonts w:ascii="PT Serif Caption" w:eastAsiaTheme="minorHAnsi" w:hAnsi="PT Serif Caption" w:cs="PT Serif Caption"/>
          <w:b/>
          <w:sz w:val="28"/>
          <w:szCs w:val="28"/>
          <w:lang w:eastAsia="en-US"/>
        </w:rPr>
      </w:pP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При подготовке к Съезду муниципалитеты высказали предложения по совершенствованию организации местного самоуправления на территории региона, обозначили проблемные вопросы, для решения которых необходимо внесение изменений в нормативные правовые акты либо принятие организационных мер и повышение уровня межведомственного взаимодействия.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Всего в документ вошло 42 предложения, </w:t>
      </w:r>
      <w:proofErr w:type="gramStart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относящихся</w:t>
      </w:r>
      <w:proofErr w:type="gramEnd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 к 14-ти отдельным сферам деятельности. В их числе – оказание услуг ЖКХ и принципы </w:t>
      </w:r>
      <w:proofErr w:type="spellStart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тарифообразования</w:t>
      </w:r>
      <w:proofErr w:type="spellEnd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 в этой сфере, межбюджетные  отношения, регулирование численности безнадзорных животных, строительство домов культуры в небольших населенных пунктах, обустройство полигонов твердых коммунальных отходов, а также проектирование и строительство очистных сооружений.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Так, например, корректировки требует регулирование в сфере обращения с ТКО. По мнению глав, многое можно решить, установив  зоны деятельности региональных операторов по обращению с ТКО в границах каждого отдельного муниципального района и городского округа. Сегодня не каждый предприниматель готов взять на себя ответственность за обслуживание «укрупненной» зоны, и </w:t>
      </w:r>
      <w:proofErr w:type="gramStart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отчасти</w:t>
      </w:r>
      <w:proofErr w:type="gramEnd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 </w:t>
      </w: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lastRenderedPageBreak/>
        <w:t xml:space="preserve">поэтому в течение уже продолжительного времени во многих муниципалитетах нет регионального оператора. 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Другой вопрос, который требует участия  не только региональных, но и федеральных органов – это обеспечение доступности государственных услуг жителями отдаленных населенных пунктов, которые в период распутицы отрезаны от «большой земли». 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Замена паспорта, постановка на учет в центрах занятости, получение других услуг, требующих личного присутствия, являются для жителей этих поселков проблематичной и дорогостоящей  процедурой.  Если взять для примера </w:t>
      </w:r>
      <w:proofErr w:type="spellStart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Каргасокский</w:t>
      </w:r>
      <w:proofErr w:type="spellEnd"/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 район, то стоимость проезда воздушным транспортом здесь составляет 3630 рублей в одну сторону. Рейс - один раз в неделю. Таким образом, с учетом проезда и проживания в гостинице, получение паспорта ребенку обойдется семье в пределах 23 тысяч рублей.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В сфере муниципального управления, пожалуй, самым наболевшим остается вопрос кадрового обеспечения. С одной стороны, в условиях новых реалий и поставленных государством задач, органам местного самоуправления необходимы высококвалифицированные и работоспособные кадры. В тоже время привлекать такие кадры просто-напросто не на что. 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Заработная плата муниципальных служащих не индексируется уже несколько лет. В ряде муниципалитетов служащие, замещающие должности младшей и старшей групп должностей, получают заработную плату сравнимую с минимальной оплатой труда. </w:t>
      </w:r>
    </w:p>
    <w:p w:rsidR="00EB72BC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>Кроме того, планомерное повышение МРОТ привело к уравниванию заработной платы муниципальных служащих младшей и частично старшей группы должностей, и работников более низких квалификационных уровней (уборщик, рабочий, вахтер, сторож). Складывается патовая ситуация, когда в местных администрациях регистрируется до 50% вакантных мест и работать практически некому.</w:t>
      </w:r>
    </w:p>
    <w:p w:rsidR="000D4402" w:rsidRPr="00EB72BC" w:rsidRDefault="00EB72BC" w:rsidP="00EB72BC">
      <w:pPr>
        <w:autoSpaceDE w:val="0"/>
        <w:autoSpaceDN w:val="0"/>
        <w:adjustRightInd w:val="0"/>
        <w:spacing w:after="0" w:line="201" w:lineRule="atLeast"/>
        <w:ind w:firstLine="567"/>
        <w:jc w:val="left"/>
        <w:rPr>
          <w:rFonts w:ascii="PT Serif Caption" w:eastAsiaTheme="minorHAnsi" w:hAnsi="PT Serif Caption" w:cs="PT Serif Caption"/>
          <w:b/>
          <w:sz w:val="24"/>
          <w:szCs w:val="24"/>
          <w:lang w:eastAsia="en-US"/>
        </w:rPr>
      </w:pPr>
      <w:r w:rsidRPr="00EB72BC">
        <w:rPr>
          <w:rFonts w:ascii="PT Serif Caption" w:eastAsiaTheme="minorHAnsi" w:hAnsi="PT Serif Caption" w:cs="PT Serif Caption"/>
          <w:sz w:val="24"/>
          <w:szCs w:val="24"/>
          <w:lang w:eastAsia="en-US"/>
        </w:rPr>
        <w:t xml:space="preserve">В этой связи в Резолюции 18-го Съезда  Совета представлены предложения по внесению изменений в конкретные нормы регионального законодательства, которые могли бы в определенной степени исправить ситуацию в положительную сторону.  </w:t>
      </w:r>
    </w:p>
    <w:p w:rsidR="009E2A20" w:rsidRDefault="009E2A20" w:rsidP="000D4402">
      <w:pPr>
        <w:pStyle w:val="af9"/>
        <w:rPr>
          <w:rFonts w:cs="PT Serif Caption Regular"/>
        </w:rPr>
      </w:pPr>
    </w:p>
    <w:sectPr w:rsidR="009E2A20" w:rsidSect="000D4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01" w:right="567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BC" w:rsidRDefault="00EB72BC" w:rsidP="002868CF">
      <w:r>
        <w:separator/>
      </w:r>
    </w:p>
  </w:endnote>
  <w:endnote w:type="continuationSeparator" w:id="0">
    <w:p w:rsidR="00EB72BC" w:rsidRDefault="00EB72BC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Default="00EB7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Default="00EB72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Default="00EB7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BC" w:rsidRDefault="00EB72BC" w:rsidP="002868CF">
      <w:r>
        <w:separator/>
      </w:r>
    </w:p>
  </w:footnote>
  <w:footnote w:type="continuationSeparator" w:id="0">
    <w:p w:rsidR="00EB72BC" w:rsidRDefault="00EB72BC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Default="00EB7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Pr="00B05AC3" w:rsidRDefault="00EB72BC" w:rsidP="000D4402">
    <w:pPr>
      <w:pStyle w:val="a4"/>
      <w:tabs>
        <w:tab w:val="clear" w:pos="4677"/>
        <w:tab w:val="clear" w:pos="9355"/>
      </w:tabs>
      <w:ind w:firstLine="0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АПРЕЛЬ-ИЮНЬ 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EB72BC" w:rsidRDefault="00EB72B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EB72BC" w:rsidRDefault="00EB72B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EB72BC" w:rsidRPr="00B05AC3" w:rsidRDefault="00EB72BC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BC" w:rsidRDefault="00EB7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88537C7"/>
    <w:multiLevelType w:val="hybridMultilevel"/>
    <w:tmpl w:val="15D0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001DD"/>
    <w:rsid w:val="0003156E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D44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35525"/>
    <w:rsid w:val="00242C23"/>
    <w:rsid w:val="002546AA"/>
    <w:rsid w:val="00255CB8"/>
    <w:rsid w:val="00270ADC"/>
    <w:rsid w:val="0028236E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61E76"/>
    <w:rsid w:val="00373556"/>
    <w:rsid w:val="00374863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6F2BCF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A1A1B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2C37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B72BC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Default">
    <w:name w:val="Default"/>
    <w:rsid w:val="000D4402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D4402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D440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D4402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0D4402"/>
    <w:rPr>
      <w:rFonts w:ascii="Myriad Pro" w:hAnsi="Myriad Pro"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0D4402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0D4402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6F2BCF"/>
    <w:pPr>
      <w:spacing w:line="281" w:lineRule="atLeast"/>
    </w:pPr>
    <w:rPr>
      <w:rFonts w:ascii="Roboto" w:hAnsi="Robot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F2BCF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F2BCF"/>
    <w:pPr>
      <w:spacing w:line="201" w:lineRule="atLeast"/>
    </w:pPr>
    <w:rPr>
      <w:rFonts w:ascii="Roboto" w:hAnsi="Roboto" w:cstheme="minorBidi"/>
      <w:color w:val="auto"/>
    </w:rPr>
  </w:style>
  <w:style w:type="table" w:styleId="aff1">
    <w:name w:val="Table Grid"/>
    <w:basedOn w:val="a1"/>
    <w:uiPriority w:val="59"/>
    <w:rsid w:val="00361E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361E76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28236E"/>
    <w:pPr>
      <w:spacing w:line="161" w:lineRule="atLeast"/>
    </w:pPr>
    <w:rPr>
      <w:rFonts w:ascii="Helvetica" w:hAnsi="Helvetic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5</cp:revision>
  <dcterms:created xsi:type="dcterms:W3CDTF">2022-04-15T06:26:00Z</dcterms:created>
  <dcterms:modified xsi:type="dcterms:W3CDTF">2022-07-04T05:19:00Z</dcterms:modified>
</cp:coreProperties>
</file>