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F4" w:rsidRDefault="005D6CF7" w:rsidP="00FB0EE2">
      <w:pPr>
        <w:pStyle w:val="Pa3"/>
        <w:rPr>
          <w:rFonts w:cs="Roboto"/>
          <w:b/>
          <w:bCs/>
          <w:color w:val="000000"/>
          <w:sz w:val="72"/>
          <w:szCs w:val="72"/>
        </w:rPr>
      </w:pPr>
      <w:r w:rsidRPr="005D6CF7">
        <w:rPr>
          <w:rFonts w:ascii="Roboto Bold" w:hAnsi="Roboto Bold" w:cs="Roboto"/>
          <w:b/>
          <w:bCs/>
          <w:color w:val="000000"/>
          <w:sz w:val="66"/>
          <w:szCs w:val="72"/>
        </w:rPr>
        <w:t>МЕСТНОЕ САМОУПРАВЛЕНИЕ: КАКОВО САМОЧУВСТВИЕ</w:t>
      </w:r>
      <w:r>
        <w:rPr>
          <w:rFonts w:cs="Roboto"/>
          <w:b/>
          <w:bCs/>
          <w:color w:val="000000"/>
          <w:sz w:val="72"/>
          <w:szCs w:val="72"/>
        </w:rPr>
        <w:t xml:space="preserve"> </w:t>
      </w:r>
    </w:p>
    <w:p w:rsidR="00ED3BF4" w:rsidRDefault="005D6CF7" w:rsidP="000C6178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i/>
          <w:iCs/>
          <w:color w:val="000000"/>
        </w:rPr>
      </w:pPr>
      <w:r w:rsidRPr="005D6CF7">
        <w:rPr>
          <w:rFonts w:cs="PT Serif Caption"/>
          <w:i/>
          <w:iCs/>
          <w:color w:val="000000"/>
        </w:rPr>
        <w:t>Совет муниципальных образований Томской области подготовил и направил в Общероссийский Конгресс муниципальных образований доклад о состоянии местного самоуправления в регионе по итогам 2021 года. Ежегодно эта работа проводится в рамках подготовки Доклада Конгресса Правительству Российской Федерации. О нынешних тенденциях в некоторых наиболее чувствительных сферах – кратко в нашем материале.</w:t>
      </w:r>
    </w:p>
    <w:p w:rsidR="005D6CF7" w:rsidRPr="005D6CF7" w:rsidRDefault="005D6CF7" w:rsidP="005D6CF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iCs/>
          <w:color w:val="000000"/>
          <w:sz w:val="16"/>
        </w:rPr>
      </w:pPr>
      <w:r w:rsidRPr="005D6CF7">
        <w:rPr>
          <w:rFonts w:cs="PT Serif Caption"/>
          <w:iCs/>
          <w:color w:val="000000"/>
          <w:sz w:val="16"/>
        </w:rPr>
        <w:t xml:space="preserve">Стоит сказать, что Доклад Правительству РФ нацелен на тиражирование наиболее прогрессивных муниципальных практик, а также выявление проблемных вопросов, существующих в муниципалитетах страны. </w:t>
      </w:r>
    </w:p>
    <w:p w:rsidR="005D6CF7" w:rsidRPr="005D6CF7" w:rsidRDefault="005D6CF7" w:rsidP="005D6CF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iCs/>
          <w:color w:val="000000"/>
          <w:sz w:val="16"/>
        </w:rPr>
      </w:pPr>
      <w:r w:rsidRPr="005D6CF7">
        <w:rPr>
          <w:rFonts w:cs="PT Serif Caption"/>
          <w:iCs/>
          <w:color w:val="000000"/>
          <w:sz w:val="16"/>
        </w:rPr>
        <w:t xml:space="preserve">Региональную часть данного доклада Совет муниципальных образований Томской области готовит на основе информации органов местного самоуправления, структурных подразделений Администрации Томской области. Также используются отчетные и аналитические материалы органов власти, размещенные в открытых источниках. </w:t>
      </w:r>
    </w:p>
    <w:p w:rsidR="005D6CF7" w:rsidRPr="005D6CF7" w:rsidRDefault="005D6CF7" w:rsidP="005D6CF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iCs/>
          <w:color w:val="000000"/>
          <w:sz w:val="16"/>
        </w:rPr>
      </w:pPr>
      <w:r w:rsidRPr="005D6CF7">
        <w:rPr>
          <w:rFonts w:cs="PT Serif Caption"/>
          <w:iCs/>
          <w:color w:val="000000"/>
          <w:sz w:val="16"/>
        </w:rPr>
        <w:t xml:space="preserve">Несколько лет подряд важное место в докладе занимает анализ участия муниципальных образований в реализации национальных и региональных проектов. Традиционно рассматриваются пространственные, финансовые и экономические особенности развития территорий, а также полномочия муниципалитетов. </w:t>
      </w:r>
    </w:p>
    <w:p w:rsidR="005D6CF7" w:rsidRPr="005D6CF7" w:rsidRDefault="005D6CF7" w:rsidP="005D6CF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iCs/>
          <w:color w:val="000000"/>
          <w:sz w:val="16"/>
        </w:rPr>
      </w:pPr>
      <w:r w:rsidRPr="005D6CF7">
        <w:rPr>
          <w:rFonts w:cs="PT Serif Caption"/>
          <w:iCs/>
          <w:color w:val="000000"/>
          <w:sz w:val="16"/>
        </w:rPr>
        <w:t xml:space="preserve">Также без внимания не осталась работа органов местного самоуправления в период действия режима повышенной готовности, практика внедрения инновационных моделей муниципального менеджмента, вопросы кадрового обеспечения местного самоуправления, </w:t>
      </w:r>
    </w:p>
    <w:p w:rsidR="005D6CF7" w:rsidRPr="005D6CF7" w:rsidRDefault="005D6CF7" w:rsidP="005D6CF7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iCs/>
          <w:color w:val="000000"/>
          <w:sz w:val="16"/>
        </w:rPr>
      </w:pPr>
      <w:r w:rsidRPr="005D6CF7">
        <w:rPr>
          <w:rFonts w:cs="PT Serif Caption"/>
          <w:iCs/>
          <w:color w:val="000000"/>
          <w:sz w:val="16"/>
        </w:rPr>
        <w:t>результаты контрольно-надзорной деятельности в отношении органов местного самоуправления, муниципальных учреждений и их должностных лиц.</w:t>
      </w:r>
    </w:p>
    <w:p w:rsidR="004B2465" w:rsidRDefault="005D6CF7" w:rsidP="005D6CF7">
      <w:pPr>
        <w:autoSpaceDE w:val="0"/>
        <w:autoSpaceDN w:val="0"/>
        <w:adjustRightInd w:val="0"/>
        <w:spacing w:after="140" w:line="201" w:lineRule="atLeast"/>
        <w:ind w:firstLine="0"/>
        <w:rPr>
          <w:rFonts w:ascii="Times New Roman" w:eastAsiaTheme="minorHAnsi" w:hAnsi="Times New Roman" w:cs="Roboto"/>
          <w:b/>
          <w:bCs/>
          <w:color w:val="000000"/>
          <w:sz w:val="36"/>
          <w:szCs w:val="36"/>
          <w:lang w:eastAsia="en-US"/>
        </w:rPr>
      </w:pPr>
      <w:r w:rsidRPr="005D6CF7">
        <w:rPr>
          <w:rFonts w:ascii="Times New Roman" w:eastAsiaTheme="minorHAnsi" w:hAnsi="Times New Roman" w:cs="Roboto"/>
          <w:b/>
          <w:bCs/>
          <w:color w:val="000000"/>
          <w:sz w:val="36"/>
          <w:szCs w:val="36"/>
          <w:lang w:eastAsia="en-US"/>
        </w:rPr>
        <w:t>НАЦПРОЕКТЫ:</w:t>
      </w:r>
      <w:r>
        <w:rPr>
          <w:rFonts w:ascii="Times New Roman" w:eastAsiaTheme="minorHAnsi" w:hAnsi="Times New Roman" w:cs="Roboto"/>
          <w:b/>
          <w:bCs/>
          <w:color w:val="000000"/>
          <w:sz w:val="36"/>
          <w:szCs w:val="36"/>
          <w:lang w:eastAsia="en-US"/>
        </w:rPr>
        <w:t xml:space="preserve"> </w:t>
      </w:r>
      <w:r w:rsidRPr="005D6CF7">
        <w:rPr>
          <w:rFonts w:ascii="Times New Roman" w:eastAsiaTheme="minorHAnsi" w:hAnsi="Times New Roman" w:cs="Roboto"/>
          <w:b/>
          <w:bCs/>
          <w:color w:val="000000"/>
          <w:sz w:val="36"/>
          <w:szCs w:val="36"/>
          <w:lang w:eastAsia="en-US"/>
        </w:rPr>
        <w:t>К НОВОМУ КАЧЕСТВУ ЖИЗНИ</w:t>
      </w:r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С 2019 года одним из главных драйверов развития России выступают национальные проекты, и практика их реализации на местах, по понятным причинам, всегда вызывала интерес.  </w:t>
      </w:r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В Томской области с точки зрения участия муниципалитетов в 2021 году наиболее показательными являются 7 национальных проектов: «Демография», «Образование», «Жилье и городская среда», «Экология», «Безопасные качественные дороги», «Культура», «Цифровая экономика».</w:t>
      </w:r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</w:pPr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>В 2021 году в Томской области реализованы мероприятия 53-х региональных проектов, решающих цели и задачи всех национальных проектов, 43% из них исполнены при участии муниципалитетов</w:t>
      </w:r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Например, муниципальные образования заняты в реализации всех региональных проектов в рамках нацпроекта «Жилье и городская среда», и по некоторым из них демонстрируется достаточно высокая эффективность в достижении плановых показателей. </w:t>
      </w:r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Так, в течение года введено 476,6 </w:t>
      </w:r>
      <w:proofErr w:type="spellStart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тыс.кв.м</w:t>
      </w:r>
      <w:proofErr w:type="spellEnd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. жилья по региональному проекту «Жилье», благоустроено 50 общественных территорий по региональному проекту «Формирование комфортной городской среды», качественной питьевой водой обеспеченно 88,8% населения Томской области и 100% - городского населения по региональному проекту «Чистая вода». </w:t>
      </w:r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Также муниципалитеты участвуют в 3 из 5 региональных проектах национального проекта «Демография». </w:t>
      </w:r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К примеру, финансирование регионального проекта «Спорт </w:t>
      </w:r>
      <w:proofErr w:type="gramStart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–н</w:t>
      </w:r>
      <w:proofErr w:type="gramEnd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орма жизни», охватывающего все районы и города, в 2021 году составило 303,2 млн рублей, значительная часть которых была направлена на создание и ремонт объектов спортивной инфраструктуры. Как результат общей работы – рост доли граждан, систематически занимающихся физической культурой и спортом, с 41,8% в 2020 году до 45,2%, в 2021-м (при плановом показателе 44,8%). </w:t>
      </w:r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Безусловно, большое внимание уделяется реализации главного дорожного национального проекта. На финансирование регионального проекта «Региональная и местная дорожная сеть» национального проекта «Безопасные качественные дороги» в прошлом году из всех источников направлено более 4 </w:t>
      </w:r>
      <w:proofErr w:type="gramStart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млрд</w:t>
      </w:r>
      <w:proofErr w:type="gramEnd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рублей. </w:t>
      </w:r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В рамках проекта отремонтировано 27 участков автомобильных дорог протяженностью 181 км., нанесено 186,5 км</w:t>
      </w:r>
      <w:proofErr w:type="gramStart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.</w:t>
      </w:r>
      <w:proofErr w:type="gramEnd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</w:t>
      </w:r>
      <w:proofErr w:type="gramStart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д</w:t>
      </w:r>
      <w:proofErr w:type="gramEnd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орожной разметки, установлено 25 тыс. м. барьерного ограждения, установлено 1 312 дорожных знаков и ликвидировано 2 места концентрации ДТП.</w:t>
      </w:r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lastRenderedPageBreak/>
        <w:t xml:space="preserve">В результате проведенных работ показатель «Доля автомобильных дорог регионального значения, находящаяся в нормативном состоянии» превысил плановое значение 32,6% и составил 33,25%. </w:t>
      </w:r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proofErr w:type="gramStart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Вместе с тем показатель «Доля дорожной сети городских агломераций, находящаяся в нормативном состоянии» немного (на 2%) не дотянул до планового значения и составил 68,96%. Здесь сказалось несоблюдение сроков проведения аварийных раскопок при ремонте коммунальных сетей в г. Томске и разрушение асфальтобетонного покрытия в результате погодных условий – многократный переход температуры через ноль в течение года. </w:t>
      </w:r>
      <w:proofErr w:type="gramEnd"/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В рамках  национального проекта «Образование» обновляется инфраструктура и материально-техническая база муниципальных образовательных организаций, разрабатываются и внедряются инновационные образовательные программы и технологии. Муниципалитеты задействованы в реализации 6 из 8 региональных проектов. В числе наиболее заметных результатов отмечается открытие 24-х центров «Точка роста», строительство новой школы на 1100 мест в </w:t>
      </w:r>
      <w:proofErr w:type="spellStart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мкр</w:t>
      </w:r>
      <w:proofErr w:type="spellEnd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-не Северный парк д. Кисловка Томского района и создание более 14,7 тысяч мест дополнительного образования по 272 новым образовательным программам.</w:t>
      </w:r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К слову, во всех муниципальных образованиях все чаще практикуется синхронизация разных национальных (региональных) проектов, государственных и муниципальных программ. По информации муниципальных образований лучше всего увязываются мероприятия таких национальных проектов, как «Жилье и городская среда», «Образование», «Демография» и «Культура».</w:t>
      </w:r>
    </w:p>
    <w:p w:rsid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Так, например, в городе Томске, благодаря размещению спортивной инфраструктуры, качественно новое развитие получили рекреационные зоны и общественные пространства. Это стало возможным посредством синхронизации проектов «Формирование комфортной городской среды» и «Спорт - норма жизни». За период с 2015 по 2021 годы так обустроены 3 км</w:t>
      </w:r>
      <w:proofErr w:type="gramStart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.</w:t>
      </w:r>
      <w:proofErr w:type="gramEnd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л</w:t>
      </w:r>
      <w:proofErr w:type="gramEnd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ыжероллерной</w:t>
      </w:r>
      <w:proofErr w:type="spellEnd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трассы в </w:t>
      </w:r>
      <w:proofErr w:type="spellStart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Академпарке</w:t>
      </w:r>
      <w:proofErr w:type="spellEnd"/>
      <w:r w:rsidRPr="005D6CF7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, почти 4 км. тропы здоровья в общественном пространстве «Сосновый бор», 13 км. тропы здоровья в общественном пространстве «Южная».</w:t>
      </w:r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</w:pPr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 xml:space="preserve">В 2021 году, благодаря синхронизации разных проектов, в Томске удалось соединить нижнюю террасу Лагерного сада и лесной массив стадиона «Буревестник» </w:t>
      </w:r>
      <w:proofErr w:type="gramStart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>вело-пешеходной</w:t>
      </w:r>
      <w:proofErr w:type="gramEnd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 xml:space="preserve"> дорожкой протяженностью 1 </w:t>
      </w:r>
      <w:proofErr w:type="spellStart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>км.</w:t>
      </w:r>
      <w:proofErr w:type="spellEnd"/>
    </w:p>
    <w:p w:rsidR="005D6CF7" w:rsidRPr="005D6CF7" w:rsidRDefault="005D6CF7" w:rsidP="005D6CF7">
      <w:pPr>
        <w:autoSpaceDE w:val="0"/>
        <w:autoSpaceDN w:val="0"/>
        <w:adjustRightInd w:val="0"/>
        <w:spacing w:after="140" w:line="201" w:lineRule="atLeast"/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</w:pPr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 xml:space="preserve">В 2021 году в реализации региональных проектов принимали участие все муниципальные образования. Со 100% кассовым освоением плановых бюджетных ассигнований их завершили 9 муниципальных образований (городской </w:t>
      </w:r>
      <w:proofErr w:type="gramStart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>округ</w:t>
      </w:r>
      <w:proofErr w:type="gramEnd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 xml:space="preserve"> ЗАТО Северск, Александровский, </w:t>
      </w:r>
      <w:proofErr w:type="spellStart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>Вернекетский</w:t>
      </w:r>
      <w:proofErr w:type="spellEnd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 xml:space="preserve">, Зырянский, </w:t>
      </w:r>
      <w:proofErr w:type="spellStart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>Колпашевский</w:t>
      </w:r>
      <w:proofErr w:type="spellEnd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 xml:space="preserve">, </w:t>
      </w:r>
      <w:proofErr w:type="spellStart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>Кривошеинский</w:t>
      </w:r>
      <w:proofErr w:type="spellEnd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 xml:space="preserve">, </w:t>
      </w:r>
      <w:proofErr w:type="spellStart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>Молчановский</w:t>
      </w:r>
      <w:proofErr w:type="spellEnd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 xml:space="preserve">, </w:t>
      </w:r>
      <w:proofErr w:type="spellStart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>Парабельский</w:t>
      </w:r>
      <w:proofErr w:type="spellEnd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 xml:space="preserve">, Первомайский и </w:t>
      </w:r>
      <w:proofErr w:type="spellStart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>Чаинский</w:t>
      </w:r>
      <w:proofErr w:type="spellEnd"/>
      <w:r w:rsidRPr="005D6CF7">
        <w:rPr>
          <w:rFonts w:ascii="PT Serif Caption" w:eastAsiaTheme="minorHAnsi" w:hAnsi="PT Serif Caption" w:cs="PT Serif Caption"/>
          <w:b/>
          <w:i/>
          <w:color w:val="000000"/>
          <w:sz w:val="20"/>
          <w:szCs w:val="24"/>
          <w:lang w:eastAsia="en-US"/>
        </w:rPr>
        <w:t xml:space="preserve"> районы).</w:t>
      </w:r>
    </w:p>
    <w:p w:rsidR="005D6CF7" w:rsidRDefault="005D6CF7" w:rsidP="004B2465">
      <w:pPr>
        <w:pStyle w:val="af3"/>
        <w:rPr>
          <w:rFonts w:asciiTheme="minorHAnsi" w:eastAsiaTheme="minorEastAsia" w:hAnsiTheme="minorHAnsi" w:cs="Roboto"/>
          <w:b/>
          <w:bCs/>
          <w:sz w:val="36"/>
          <w:szCs w:val="36"/>
          <w:lang w:val="ru-RU" w:eastAsia="ru-RU"/>
        </w:rPr>
      </w:pPr>
      <w:r w:rsidRPr="005D6CF7">
        <w:rPr>
          <w:rFonts w:asciiTheme="minorHAnsi" w:eastAsiaTheme="minorEastAsia" w:hAnsiTheme="minorHAnsi" w:cs="Roboto"/>
          <w:b/>
          <w:bCs/>
          <w:sz w:val="36"/>
          <w:szCs w:val="36"/>
          <w:lang w:val="ru-RU" w:eastAsia="ru-RU"/>
        </w:rPr>
        <w:t>ФИНАНСОВЫЙ ВОПРОС</w:t>
      </w:r>
    </w:p>
    <w:p w:rsidR="005D6CF7" w:rsidRPr="005D6CF7" w:rsidRDefault="005D6CF7" w:rsidP="005D6CF7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5D6CF7">
        <w:rPr>
          <w:rFonts w:ascii="PT Serif Caption" w:hAnsi="PT Serif Caption" w:cs="PT Serif Caption"/>
          <w:sz w:val="20"/>
          <w:szCs w:val="20"/>
          <w:lang w:val="ru-RU"/>
        </w:rPr>
        <w:t xml:space="preserve">Де-факто большинство национальных (региональных) проектов локализуются на территориях муниципальных образований, что предопределяет важную роль муниципалитетов в их реализации. Часть мероприятий региональных проектов «зашиты» в муниципальные программы и реализуется на условиях </w:t>
      </w:r>
      <w:proofErr w:type="spellStart"/>
      <w:r w:rsidRPr="005D6CF7">
        <w:rPr>
          <w:rFonts w:ascii="PT Serif Caption" w:hAnsi="PT Serif Caption" w:cs="PT Serif Caption"/>
          <w:sz w:val="20"/>
          <w:szCs w:val="20"/>
          <w:lang w:val="ru-RU"/>
        </w:rPr>
        <w:t>софинансирования</w:t>
      </w:r>
      <w:proofErr w:type="spellEnd"/>
      <w:r w:rsidRPr="005D6CF7">
        <w:rPr>
          <w:rFonts w:ascii="PT Serif Caption" w:hAnsi="PT Serif Caption" w:cs="PT Serif Caption"/>
          <w:sz w:val="20"/>
          <w:szCs w:val="20"/>
          <w:lang w:val="ru-RU"/>
        </w:rPr>
        <w:t xml:space="preserve">. В этой связи в докладе большое внимание уделено особенностям регулирования межбюджетных отношений. </w:t>
      </w:r>
    </w:p>
    <w:p w:rsidR="005D6CF7" w:rsidRPr="005D6CF7" w:rsidRDefault="005D6CF7" w:rsidP="005D6CF7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5D6CF7">
        <w:rPr>
          <w:rFonts w:ascii="PT Serif Caption" w:hAnsi="PT Serif Caption" w:cs="PT Serif Caption"/>
          <w:sz w:val="20"/>
          <w:szCs w:val="20"/>
          <w:lang w:val="ru-RU"/>
        </w:rPr>
        <w:t>В Томской области с 2013 года установлены единые для всех муниципальных районов и городских округов нормативы отчислений от подлежащего зачислению в областной бюджет налога, взимаемого в связи с применением упрощенной системы (УСН) в размере 30% и от налога на добычу общераспространенных полезных ископаемых (НДПИ) в размере 100%.</w:t>
      </w:r>
    </w:p>
    <w:p w:rsidR="005D6CF7" w:rsidRPr="005D6CF7" w:rsidRDefault="005D6CF7" w:rsidP="005D6CF7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5D6CF7">
        <w:rPr>
          <w:rFonts w:ascii="PT Serif Caption" w:hAnsi="PT Serif Caption" w:cs="PT Serif Caption"/>
          <w:sz w:val="20"/>
          <w:szCs w:val="20"/>
          <w:lang w:val="ru-RU"/>
        </w:rPr>
        <w:t xml:space="preserve">За 2021 год объем доходов местных бюджетов, полученных в связи с закреплением за муниципальными образованиями единых нормативов отчислений от указанных налогов, составил 1 325,2 </w:t>
      </w:r>
      <w:proofErr w:type="gramStart"/>
      <w:r w:rsidRPr="005D6CF7">
        <w:rPr>
          <w:rFonts w:ascii="PT Serif Caption" w:hAnsi="PT Serif Caption" w:cs="PT Serif Caption"/>
          <w:sz w:val="20"/>
          <w:szCs w:val="20"/>
          <w:lang w:val="ru-RU"/>
        </w:rPr>
        <w:t>млн</w:t>
      </w:r>
      <w:proofErr w:type="gramEnd"/>
      <w:r w:rsidRPr="005D6CF7">
        <w:rPr>
          <w:rFonts w:ascii="PT Serif Caption" w:hAnsi="PT Serif Caption" w:cs="PT Serif Caption"/>
          <w:sz w:val="20"/>
          <w:szCs w:val="20"/>
          <w:lang w:val="ru-RU"/>
        </w:rPr>
        <w:t xml:space="preserve"> рублей, в том числе от УСН -1288,4 млн рублей, НДПИ - 36,8 млн рублей. Доля указанных поступлений в составе собственных (налоговых и неналоговых) доходов местных бюджетов составила 9,9% (в среднем по Российской Федерации от УСН и НДПИ- 6,4%), в том числе по налогам 9,6% и 0,3%, соответственно.</w:t>
      </w:r>
    </w:p>
    <w:p w:rsidR="005D6CF7" w:rsidRPr="005D6CF7" w:rsidRDefault="005D6CF7" w:rsidP="005D6CF7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5D6CF7">
        <w:rPr>
          <w:rFonts w:ascii="PT Serif Caption" w:hAnsi="PT Serif Caption" w:cs="PT Serif Caption"/>
          <w:sz w:val="20"/>
          <w:szCs w:val="20"/>
          <w:lang w:val="ru-RU"/>
        </w:rPr>
        <w:t>При этом процент доходов, переданных из областного бюджета по единым нормативам, варьируется в бюджетах муниципальных районов и городских округов от 2,0 % до 13,1%.</w:t>
      </w:r>
    </w:p>
    <w:p w:rsidR="005D6CF7" w:rsidRPr="005D6CF7" w:rsidRDefault="005D6CF7" w:rsidP="005D6CF7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5D6CF7">
        <w:rPr>
          <w:rFonts w:ascii="PT Serif Caption" w:hAnsi="PT Serif Caption" w:cs="PT Serif Caption"/>
          <w:sz w:val="20"/>
          <w:szCs w:val="20"/>
          <w:lang w:val="ru-RU"/>
        </w:rPr>
        <w:lastRenderedPageBreak/>
        <w:t xml:space="preserve">В прошлом году 77 регионов России воспользовались правом на передачу из региональных в местные бюджеты доходов по единым нормативам отчислений (за исключением налога на доходы физических лиц), а именно по налогу на прибыль организаций, налогу на имущество организаций, транспортному налогу, налогу на игорный бизнес, НДПИ, УСН, отдельным видам акцизов. </w:t>
      </w:r>
    </w:p>
    <w:p w:rsidR="005D6CF7" w:rsidRPr="005D6CF7" w:rsidRDefault="005D6CF7" w:rsidP="005D6CF7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5D6CF7">
        <w:rPr>
          <w:rFonts w:ascii="PT Serif Caption" w:hAnsi="PT Serif Caption" w:cs="PT Serif Caption"/>
          <w:sz w:val="20"/>
          <w:szCs w:val="20"/>
          <w:lang w:val="ru-RU"/>
        </w:rPr>
        <w:t>Однако в Томской области, во избежание высокой дифференциации муниципальных образований по уровню их бюджетной обеспеченности, решения об установлении новых или более высоких единых нормативов отчислений от региональных налогов и сборов в местные бюджеты на сегодняшний день не приняты. В пользу такого решения органы региональной власти приводят два весомых аргумента.</w:t>
      </w:r>
    </w:p>
    <w:p w:rsidR="005D6CF7" w:rsidRPr="005D6CF7" w:rsidRDefault="005D6CF7" w:rsidP="005D6CF7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5D6CF7">
        <w:rPr>
          <w:rFonts w:ascii="PT Serif Caption" w:hAnsi="PT Serif Caption" w:cs="PT Serif Caption"/>
          <w:sz w:val="20"/>
          <w:szCs w:val="20"/>
          <w:lang w:val="ru-RU"/>
        </w:rPr>
        <w:t xml:space="preserve">Во-первых, налогооблагаемая база в Томской области распределена крайне неравномерно ввиду географических и экономических особенностей территории. Так, более 95,5% (в 2020 году – 94%) налоговой базы по УСН сосредоточено в 5 муниципальных образованиях Томской области (г. Томск, г. Стрежевой, ЗАТО Северск, </w:t>
      </w:r>
      <w:proofErr w:type="spellStart"/>
      <w:r w:rsidRPr="005D6CF7">
        <w:rPr>
          <w:rFonts w:ascii="PT Serif Caption" w:hAnsi="PT Serif Caption" w:cs="PT Serif Caption"/>
          <w:sz w:val="20"/>
          <w:szCs w:val="20"/>
          <w:lang w:val="ru-RU"/>
        </w:rPr>
        <w:t>Асиновский</w:t>
      </w:r>
      <w:proofErr w:type="spellEnd"/>
      <w:r w:rsidRPr="005D6CF7">
        <w:rPr>
          <w:rFonts w:ascii="PT Serif Caption" w:hAnsi="PT Serif Caption" w:cs="PT Serif Caption"/>
          <w:sz w:val="20"/>
          <w:szCs w:val="20"/>
          <w:lang w:val="ru-RU"/>
        </w:rPr>
        <w:t xml:space="preserve"> и Томский районы), около 70% базы по налогу на имущество организаций – в 3 муниципальных образованиях (г. Томск, ЗАТО Северск и Томский район).</w:t>
      </w:r>
    </w:p>
    <w:p w:rsidR="009F7BD3" w:rsidRDefault="005D6CF7" w:rsidP="005D6CF7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 w:rsidRPr="005D6CF7">
        <w:rPr>
          <w:rFonts w:ascii="PT Serif Caption" w:hAnsi="PT Serif Caption" w:cs="PT Serif Caption"/>
          <w:sz w:val="20"/>
          <w:szCs w:val="20"/>
          <w:lang w:val="ru-RU"/>
        </w:rPr>
        <w:t>Во-вторых, налоговая база по налогу на прибыль организаций, отдельным видам акцизов, транспортному налогу и налогу на игорный бизнес характеризуется высокой мобильностью, на которую органы местного самоуправления существенным образом не могут повлиять.</w:t>
      </w:r>
    </w:p>
    <w:p w:rsidR="005D6CF7" w:rsidRDefault="005D6CF7" w:rsidP="005D6CF7">
      <w:pPr>
        <w:pStyle w:val="af3"/>
        <w:rPr>
          <w:noProof/>
          <w:lang w:val="ru-RU"/>
        </w:rPr>
      </w:pPr>
    </w:p>
    <w:p w:rsidR="005D6CF7" w:rsidRDefault="005D6CF7" w:rsidP="005D6CF7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49A86D77" wp14:editId="2EA6E603">
            <wp:extent cx="761148" cy="13383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7090" t="21874" r="39125" b="35033"/>
                    <a:stretch/>
                  </pic:blipFill>
                  <pic:spPr bwMode="auto">
                    <a:xfrm>
                      <a:off x="0" y="0"/>
                      <a:ext cx="761741" cy="1339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CF7" w:rsidRDefault="005D6CF7" w:rsidP="005D6CF7">
      <w:pPr>
        <w:pStyle w:val="af3"/>
        <w:rPr>
          <w:rFonts w:cs="Roboto"/>
          <w:b/>
          <w:bCs/>
          <w:sz w:val="36"/>
          <w:szCs w:val="36"/>
          <w:lang w:val="ru-RU"/>
        </w:rPr>
      </w:pPr>
      <w:r w:rsidRPr="005D6CF7">
        <w:rPr>
          <w:rFonts w:cs="Roboto"/>
          <w:b/>
          <w:bCs/>
          <w:sz w:val="36"/>
          <w:szCs w:val="36"/>
          <w:lang w:val="ru-RU"/>
        </w:rPr>
        <w:t>ТРЕБУЮТСЯ РАБОЧИЕ РУКИ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r w:rsidRPr="005D6CF7">
        <w:rPr>
          <w:rFonts w:ascii="PT Serif Caption" w:hAnsi="PT Serif Caption" w:cs="Roboto"/>
          <w:bCs/>
          <w:sz w:val="20"/>
          <w:lang w:val="ru-RU"/>
        </w:rPr>
        <w:t xml:space="preserve">Сегодня, по мнению муниципалитетов, как никогда остро стоит вопрос с кадровым обеспечением муниципальной службы. В частности, отмечаются такие проблемы, как  частая смена кадров и нехватка квалифицированных специалистов. Данный вопрос в настоящее время актуален не только для сельских поселений, но и для городских округов. 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r w:rsidRPr="005D6CF7">
        <w:rPr>
          <w:rFonts w:ascii="PT Serif Caption" w:hAnsi="PT Serif Caption" w:cs="Roboto"/>
          <w:bCs/>
          <w:sz w:val="20"/>
          <w:lang w:val="ru-RU"/>
        </w:rPr>
        <w:t>Так, например, в администрации города Томска с 2016 по 2021 годы включительно показатель «текучесть кадров» увеличился в 1,5 раза. Причем рост этого показателя связан с увеличением числа увольнений по собственному желанию. Если в 2016 году из администрации города Томска и ее органов уволились 169 человек, то в 2021 году – 249 человек.</w:t>
      </w:r>
      <w:r w:rsidRPr="005D6CF7">
        <w:rPr>
          <w:rFonts w:ascii="PT Serif Caption" w:hAnsi="PT Serif Caption"/>
          <w:sz w:val="20"/>
          <w:lang w:val="ru-RU"/>
        </w:rPr>
        <w:t xml:space="preserve"> </w:t>
      </w:r>
      <w:r w:rsidRPr="005D6CF7">
        <w:rPr>
          <w:rFonts w:ascii="PT Serif Caption" w:hAnsi="PT Serif Caption" w:cs="Roboto"/>
          <w:bCs/>
          <w:sz w:val="20"/>
          <w:lang w:val="ru-RU"/>
        </w:rPr>
        <w:t xml:space="preserve">Причиной такого оттока кадров из муниципалитетов является существенная диспропорция между объемом должностных обязанностей, уровнем ответственности и уровнем оплаты труда муниципальных служащих. В частности, муниципальная служба за последние годы стала малопривлекательной для молодых специалистов. 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r w:rsidRPr="005D6CF7">
        <w:rPr>
          <w:rFonts w:ascii="PT Serif Caption" w:hAnsi="PT Serif Caption" w:cs="Roboto"/>
          <w:bCs/>
          <w:sz w:val="20"/>
          <w:lang w:val="ru-RU"/>
        </w:rPr>
        <w:t xml:space="preserve">Так, на 1 января 2022 года доля молодежи (специалистов в возрасте от 18 до 35 лет) в кадровом корпусе муниципальных образований составляет 19,8%. Причем наибольшая доля молодых людей приходится на группу «муниципальные служащие» – 25,1%. 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r w:rsidRPr="005D6CF7">
        <w:rPr>
          <w:rFonts w:ascii="PT Serif Caption" w:hAnsi="PT Serif Caption" w:cs="Roboto"/>
          <w:bCs/>
          <w:sz w:val="20"/>
          <w:lang w:val="ru-RU"/>
        </w:rPr>
        <w:t>Наименьшее присутствие молодежи зафиксировано в группе «главы муниципальных образований» – 3,8%. Среди депутатов представительных органов муниципальных образований 10,5% приходится на молодых депутатов.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r w:rsidRPr="005D6CF7">
        <w:rPr>
          <w:rFonts w:ascii="PT Serif Caption" w:hAnsi="PT Serif Caption" w:cs="Roboto"/>
          <w:bCs/>
          <w:sz w:val="20"/>
          <w:lang w:val="ru-RU"/>
        </w:rPr>
        <w:t xml:space="preserve">Вместе с тем в разрезе муниципальных образований кадровый состав органов местного самоуправления крайне неоднороден. Так, например, полное отсутствие молодых кадров отмечается в Ягодном, </w:t>
      </w:r>
      <w:proofErr w:type="spellStart"/>
      <w:r w:rsidRPr="005D6CF7">
        <w:rPr>
          <w:rFonts w:ascii="PT Serif Caption" w:hAnsi="PT Serif Caption" w:cs="Roboto"/>
          <w:bCs/>
          <w:sz w:val="20"/>
          <w:lang w:val="ru-RU"/>
        </w:rPr>
        <w:t>Батуринском</w:t>
      </w:r>
      <w:proofErr w:type="spellEnd"/>
      <w:r w:rsidRPr="005D6CF7">
        <w:rPr>
          <w:rFonts w:ascii="PT Serif Caption" w:hAnsi="PT Serif Caption" w:cs="Roboto"/>
          <w:bCs/>
          <w:sz w:val="20"/>
          <w:lang w:val="ru-RU"/>
        </w:rPr>
        <w:t xml:space="preserve">, Новониколаевском сельских  поселениях </w:t>
      </w:r>
      <w:proofErr w:type="spellStart"/>
      <w:r w:rsidRPr="005D6CF7">
        <w:rPr>
          <w:rFonts w:ascii="PT Serif Caption" w:hAnsi="PT Serif Caption" w:cs="Roboto"/>
          <w:bCs/>
          <w:sz w:val="20"/>
          <w:lang w:val="ru-RU"/>
        </w:rPr>
        <w:t>Асиновского</w:t>
      </w:r>
      <w:proofErr w:type="spellEnd"/>
      <w:r w:rsidRPr="005D6CF7">
        <w:rPr>
          <w:rFonts w:ascii="PT Serif Caption" w:hAnsi="PT Serif Caption" w:cs="Roboto"/>
          <w:bCs/>
          <w:sz w:val="20"/>
          <w:lang w:val="ru-RU"/>
        </w:rPr>
        <w:t xml:space="preserve"> района. По 2% – в администрациях </w:t>
      </w:r>
      <w:proofErr w:type="spellStart"/>
      <w:r w:rsidRPr="005D6CF7">
        <w:rPr>
          <w:rFonts w:ascii="PT Serif Caption" w:hAnsi="PT Serif Caption" w:cs="Roboto"/>
          <w:bCs/>
          <w:sz w:val="20"/>
          <w:lang w:val="ru-RU"/>
        </w:rPr>
        <w:t>Верхнекетского</w:t>
      </w:r>
      <w:proofErr w:type="spellEnd"/>
      <w:r w:rsidRPr="005D6CF7">
        <w:rPr>
          <w:rFonts w:ascii="PT Serif Caption" w:hAnsi="PT Serif Caption" w:cs="Roboto"/>
          <w:bCs/>
          <w:sz w:val="20"/>
          <w:lang w:val="ru-RU"/>
        </w:rPr>
        <w:t xml:space="preserve"> и  </w:t>
      </w:r>
      <w:proofErr w:type="gramStart"/>
      <w:r w:rsidRPr="005D6CF7">
        <w:rPr>
          <w:rFonts w:ascii="PT Serif Caption" w:hAnsi="PT Serif Caption" w:cs="Roboto"/>
          <w:bCs/>
          <w:sz w:val="20"/>
          <w:lang w:val="ru-RU"/>
        </w:rPr>
        <w:t>Зырянского</w:t>
      </w:r>
      <w:proofErr w:type="gramEnd"/>
      <w:r w:rsidRPr="005D6CF7">
        <w:rPr>
          <w:rFonts w:ascii="PT Serif Caption" w:hAnsi="PT Serif Caption" w:cs="Roboto"/>
          <w:bCs/>
          <w:sz w:val="20"/>
          <w:lang w:val="ru-RU"/>
        </w:rPr>
        <w:t xml:space="preserve"> районах. В пределах 8-15% отмечается в </w:t>
      </w:r>
      <w:proofErr w:type="spellStart"/>
      <w:r w:rsidRPr="005D6CF7">
        <w:rPr>
          <w:rFonts w:ascii="PT Serif Caption" w:hAnsi="PT Serif Caption" w:cs="Roboto"/>
          <w:bCs/>
          <w:sz w:val="20"/>
          <w:lang w:val="ru-RU"/>
        </w:rPr>
        <w:t>Бакчарском</w:t>
      </w:r>
      <w:proofErr w:type="spellEnd"/>
      <w:r w:rsidRPr="005D6CF7">
        <w:rPr>
          <w:rFonts w:ascii="PT Serif Caption" w:hAnsi="PT Serif Caption" w:cs="Roboto"/>
          <w:bCs/>
          <w:sz w:val="20"/>
          <w:lang w:val="ru-RU"/>
        </w:rPr>
        <w:t xml:space="preserve">, </w:t>
      </w:r>
      <w:proofErr w:type="spellStart"/>
      <w:r w:rsidRPr="005D6CF7">
        <w:rPr>
          <w:rFonts w:ascii="PT Serif Caption" w:hAnsi="PT Serif Caption" w:cs="Roboto"/>
          <w:bCs/>
          <w:sz w:val="20"/>
          <w:lang w:val="ru-RU"/>
        </w:rPr>
        <w:lastRenderedPageBreak/>
        <w:t>Каргасокском</w:t>
      </w:r>
      <w:proofErr w:type="spellEnd"/>
      <w:r w:rsidRPr="005D6CF7">
        <w:rPr>
          <w:rFonts w:ascii="PT Serif Caption" w:hAnsi="PT Serif Caption" w:cs="Roboto"/>
          <w:bCs/>
          <w:sz w:val="20"/>
          <w:lang w:val="ru-RU"/>
        </w:rPr>
        <w:t xml:space="preserve">, </w:t>
      </w:r>
      <w:proofErr w:type="spellStart"/>
      <w:r w:rsidRPr="005D6CF7">
        <w:rPr>
          <w:rFonts w:ascii="PT Serif Caption" w:hAnsi="PT Serif Caption" w:cs="Roboto"/>
          <w:bCs/>
          <w:sz w:val="20"/>
          <w:lang w:val="ru-RU"/>
        </w:rPr>
        <w:t>Кривошеинском</w:t>
      </w:r>
      <w:proofErr w:type="spellEnd"/>
      <w:r w:rsidRPr="005D6CF7">
        <w:rPr>
          <w:rFonts w:ascii="PT Serif Caption" w:hAnsi="PT Serif Caption" w:cs="Roboto"/>
          <w:bCs/>
          <w:sz w:val="20"/>
          <w:lang w:val="ru-RU"/>
        </w:rPr>
        <w:t xml:space="preserve">, </w:t>
      </w:r>
      <w:proofErr w:type="spellStart"/>
      <w:r w:rsidRPr="005D6CF7">
        <w:rPr>
          <w:rFonts w:ascii="PT Serif Caption" w:hAnsi="PT Serif Caption" w:cs="Roboto"/>
          <w:bCs/>
          <w:sz w:val="20"/>
          <w:lang w:val="ru-RU"/>
        </w:rPr>
        <w:t>Молчановском</w:t>
      </w:r>
      <w:proofErr w:type="spellEnd"/>
      <w:r w:rsidRPr="005D6CF7">
        <w:rPr>
          <w:rFonts w:ascii="PT Serif Caption" w:hAnsi="PT Serif Caption" w:cs="Roboto"/>
          <w:bCs/>
          <w:sz w:val="20"/>
          <w:lang w:val="ru-RU"/>
        </w:rPr>
        <w:t xml:space="preserve">, Первомайском районах и ЗАТО Северск (12%). Наиболее высокие показатели зафиксированы в городе Томске (39%), </w:t>
      </w:r>
      <w:proofErr w:type="spellStart"/>
      <w:r w:rsidRPr="005D6CF7">
        <w:rPr>
          <w:rFonts w:ascii="PT Serif Caption" w:hAnsi="PT Serif Caption" w:cs="Roboto"/>
          <w:bCs/>
          <w:sz w:val="20"/>
          <w:lang w:val="ru-RU"/>
        </w:rPr>
        <w:t>Кожевниковском</w:t>
      </w:r>
      <w:proofErr w:type="spellEnd"/>
      <w:r w:rsidRPr="005D6CF7">
        <w:rPr>
          <w:rFonts w:ascii="PT Serif Caption" w:hAnsi="PT Serif Caption" w:cs="Roboto"/>
          <w:bCs/>
          <w:sz w:val="20"/>
          <w:lang w:val="ru-RU"/>
        </w:rPr>
        <w:t xml:space="preserve"> (34,1%) и Томском (46,2%) районах.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r w:rsidRPr="005D6CF7">
        <w:rPr>
          <w:rFonts w:ascii="PT Serif Caption" w:hAnsi="PT Serif Caption" w:cs="Roboto"/>
          <w:bCs/>
          <w:sz w:val="20"/>
          <w:lang w:val="ru-RU"/>
        </w:rPr>
        <w:t>Согласно представленной муниципалитетами информации доля должностных лиц органов местного самоуправления, имеющих стаж муниципальной службы и приравненной к ней трудовой деятельности свыше 20 лет, колеблется от 10 до 35 процентов. При этом в ряде муниципальных образований, в большей мере это касается  сельских поселений, отмечается  отсутствие кадров с 20-летним стажем.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r w:rsidRPr="005D6CF7">
        <w:rPr>
          <w:rFonts w:ascii="PT Serif Caption" w:hAnsi="PT Serif Caption" w:cs="Roboto"/>
          <w:bCs/>
          <w:sz w:val="20"/>
          <w:lang w:val="ru-RU"/>
        </w:rPr>
        <w:t xml:space="preserve">Получается, что накопленный специалистами администраций опыт при частой смене кадров не передается новым сотрудникам, возникают проблемы в процессе адаптации муниципальных служащих, и в целом снижается эффективность работы органов местного самоуправления. 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r w:rsidRPr="005D6CF7">
        <w:rPr>
          <w:rFonts w:ascii="PT Serif Caption" w:hAnsi="PT Serif Caption" w:cs="Roboto"/>
          <w:bCs/>
          <w:sz w:val="20"/>
          <w:lang w:val="ru-RU"/>
        </w:rPr>
        <w:t>В целях повышения кадрового потенциала органов местного самоуправления Советом муниципальных образований предложено рассмотреть вопрос о повышении заработной платы муниципальных служащих, а также последовательно реализовывать мероприятия, направленные на формирование более высокого статуса муниципального служащего и престижа муниципальной службы.</w:t>
      </w:r>
    </w:p>
    <w:p w:rsidR="005D6CF7" w:rsidRDefault="005D6CF7" w:rsidP="005D6CF7">
      <w:pPr>
        <w:pStyle w:val="af3"/>
        <w:rPr>
          <w:rFonts w:cs="Roboto"/>
          <w:b/>
          <w:bCs/>
          <w:sz w:val="36"/>
          <w:szCs w:val="36"/>
          <w:lang w:val="ru-RU"/>
        </w:rPr>
      </w:pPr>
      <w:r w:rsidRPr="005D6CF7">
        <w:rPr>
          <w:rFonts w:cs="Roboto"/>
          <w:b/>
          <w:bCs/>
          <w:sz w:val="36"/>
          <w:szCs w:val="36"/>
          <w:lang w:val="ru-RU"/>
        </w:rPr>
        <w:t>ТРЕНДЫ ГОСКОНТРОЛЯ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bookmarkStart w:id="0" w:name="_GoBack"/>
      <w:r w:rsidRPr="005D6CF7">
        <w:rPr>
          <w:rFonts w:ascii="PT Serif Caption" w:hAnsi="PT Serif Caption" w:cs="Roboto"/>
          <w:bCs/>
          <w:sz w:val="20"/>
          <w:lang w:val="ru-RU"/>
        </w:rPr>
        <w:t xml:space="preserve">Согласно данным Единого реестра контрольных (надзорных) мероприятий https://proverki.gov.ru в 2021 году в отношении органов местного самоуправления Томской области проведено 152 контрольных мероприятия. 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r w:rsidRPr="005D6CF7">
        <w:rPr>
          <w:rFonts w:ascii="PT Serif Caption" w:hAnsi="PT Serif Caption" w:cs="Roboto"/>
          <w:bCs/>
          <w:sz w:val="20"/>
          <w:lang w:val="ru-RU"/>
        </w:rPr>
        <w:t xml:space="preserve">Это на 7% меньше по сравнению с 2020 годом (163 проверки) и на 52% меньше по сравнению с 2019 годом (293 проверки). 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r w:rsidRPr="005D6CF7">
        <w:rPr>
          <w:rFonts w:ascii="PT Serif Caption" w:hAnsi="PT Serif Caption" w:cs="Roboto"/>
          <w:bCs/>
          <w:sz w:val="20"/>
          <w:lang w:val="ru-RU"/>
        </w:rPr>
        <w:t>Наибольшее число проверок (50%) в отношении органов местного самоуправления проведено Главным управлением МЧС России по Томской области. Более половины из них (44 проверки) проведены с целью проверки исполнения органами местного самоуправления полномочий по обеспечению первичных мер пожарной безопасности в границах населенных пунктов поселения.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r w:rsidRPr="005D6CF7">
        <w:rPr>
          <w:rFonts w:ascii="PT Serif Caption" w:hAnsi="PT Serif Caption" w:cs="Roboto"/>
          <w:bCs/>
          <w:sz w:val="20"/>
          <w:lang w:val="ru-RU"/>
        </w:rPr>
        <w:t xml:space="preserve">Вместе с тем по информации муниципалитетов Томской области сохраняется высокая динамика проводимых проверок со стороны органов прокуратуры. 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r w:rsidRPr="005D6CF7">
        <w:rPr>
          <w:rFonts w:ascii="PT Serif Caption" w:hAnsi="PT Serif Caption" w:cs="Roboto"/>
          <w:bCs/>
          <w:sz w:val="20"/>
          <w:lang w:val="ru-RU"/>
        </w:rPr>
        <w:t xml:space="preserve">Так, например, в отношении органов местного самоуправления </w:t>
      </w:r>
      <w:proofErr w:type="spellStart"/>
      <w:r w:rsidRPr="005D6CF7">
        <w:rPr>
          <w:rFonts w:ascii="PT Serif Caption" w:hAnsi="PT Serif Caption" w:cs="Roboto"/>
          <w:bCs/>
          <w:sz w:val="20"/>
          <w:lang w:val="ru-RU"/>
        </w:rPr>
        <w:t>Верхнекетского</w:t>
      </w:r>
      <w:proofErr w:type="spellEnd"/>
      <w:r w:rsidRPr="005D6CF7">
        <w:rPr>
          <w:rFonts w:ascii="PT Serif Caption" w:hAnsi="PT Serif Caption" w:cs="Roboto"/>
          <w:bCs/>
          <w:sz w:val="20"/>
          <w:lang w:val="ru-RU"/>
        </w:rPr>
        <w:t xml:space="preserve"> района в течение 2021 года районной прокуратурой внесено 26 протестов и 16 представлений, подано 8 исковых заявлений об устранении муниципальными образовательными организациями нарушений требований законодательства об антитеррористической защищенности объектов.</w:t>
      </w:r>
    </w:p>
    <w:p w:rsidR="005D6CF7" w:rsidRPr="005D6CF7" w:rsidRDefault="005D6CF7" w:rsidP="005D6CF7">
      <w:pPr>
        <w:pStyle w:val="af3"/>
        <w:rPr>
          <w:rFonts w:ascii="PT Serif Caption" w:hAnsi="PT Serif Caption" w:cs="Roboto"/>
          <w:bCs/>
          <w:sz w:val="20"/>
          <w:lang w:val="ru-RU"/>
        </w:rPr>
      </w:pPr>
      <w:r w:rsidRPr="005D6CF7">
        <w:rPr>
          <w:rFonts w:ascii="PT Serif Caption" w:hAnsi="PT Serif Caption" w:cs="Roboto"/>
          <w:bCs/>
          <w:sz w:val="20"/>
          <w:lang w:val="ru-RU"/>
        </w:rPr>
        <w:t>Но все-таки основную проблему в данной сфере муниципалитеты видят в том, что со стороны органов контроля (надзора) так и нет ориентира на финансовые возможности (бюджеты) муниципалитетов и действующие муниципальные планы и программы развития.</w:t>
      </w:r>
      <w:bookmarkEnd w:id="0"/>
    </w:p>
    <w:sectPr w:rsidR="005D6CF7" w:rsidRPr="005D6CF7" w:rsidSect="00055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E2" w:rsidRDefault="00FB0EE2" w:rsidP="002868CF">
      <w:r>
        <w:separator/>
      </w:r>
    </w:p>
  </w:endnote>
  <w:endnote w:type="continuationSeparator" w:id="0">
    <w:p w:rsidR="00FB0EE2" w:rsidRDefault="00FB0EE2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A5" w:rsidRDefault="00A65C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A5" w:rsidRDefault="00A65C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A5" w:rsidRDefault="00A65C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E2" w:rsidRDefault="00FB0EE2" w:rsidP="002868CF">
      <w:r>
        <w:separator/>
      </w:r>
    </w:p>
  </w:footnote>
  <w:footnote w:type="continuationSeparator" w:id="0">
    <w:p w:rsidR="00FB0EE2" w:rsidRDefault="00FB0EE2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A5" w:rsidRDefault="00A65C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E2" w:rsidRPr="00B05AC3" w:rsidRDefault="00FB0EE2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>
      <w:rPr>
        <w:rFonts w:ascii="Myriad Pro" w:hAnsi="Myriad Pro"/>
        <w:b/>
        <w:color w:val="auto"/>
      </w:rPr>
      <w:tab/>
    </w:r>
    <w:r w:rsidR="00A65CA5">
      <w:rPr>
        <w:rFonts w:ascii="Myriad Pro" w:hAnsi="Myriad Pro"/>
        <w:color w:val="auto"/>
        <w:sz w:val="20"/>
        <w:szCs w:val="20"/>
      </w:rPr>
      <w:t>ИЮЛЬ-СЕНТЯБРЬ</w:t>
    </w:r>
    <w:r w:rsidR="00214BC1">
      <w:rPr>
        <w:rFonts w:ascii="Myriad Pro" w:hAnsi="Myriad Pro"/>
        <w:color w:val="auto"/>
        <w:sz w:val="20"/>
        <w:szCs w:val="20"/>
      </w:rPr>
      <w:t xml:space="preserve">  202</w:t>
    </w:r>
    <w:r w:rsidR="00214BC1">
      <w:rPr>
        <w:rFonts w:ascii="Myriad Pro" w:hAnsi="Myriad Pro"/>
        <w:color w:val="auto"/>
        <w:sz w:val="20"/>
        <w:szCs w:val="20"/>
        <w:lang w:val="en-US"/>
      </w:rPr>
      <w:t>2</w:t>
    </w:r>
  </w:p>
  <w:p w:rsidR="00FB0EE2" w:rsidRDefault="005D6CF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FB0EE2" w:rsidRDefault="00FB0EE2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FB0EE2" w:rsidRPr="00B05AC3" w:rsidRDefault="00FB0EE2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A5" w:rsidRDefault="00A65C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C6178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14BC1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2465"/>
    <w:rsid w:val="004B7282"/>
    <w:rsid w:val="004F4EEC"/>
    <w:rsid w:val="005069FA"/>
    <w:rsid w:val="00507AE7"/>
    <w:rsid w:val="00511148"/>
    <w:rsid w:val="00512C42"/>
    <w:rsid w:val="00524C31"/>
    <w:rsid w:val="005264B3"/>
    <w:rsid w:val="00527658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D6CF7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25D1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B190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9F7BD3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65CA5"/>
    <w:rsid w:val="00A75BAB"/>
    <w:rsid w:val="00A808CC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4727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4512C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D3BF4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B0EE2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customStyle="1" w:styleId="Pa3">
    <w:name w:val="Pa3"/>
    <w:basedOn w:val="a"/>
    <w:next w:val="a"/>
    <w:uiPriority w:val="99"/>
    <w:rsid w:val="00ED3BF4"/>
    <w:pPr>
      <w:autoSpaceDE w:val="0"/>
      <w:autoSpaceDN w:val="0"/>
      <w:adjustRightInd w:val="0"/>
      <w:spacing w:after="0" w:line="72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Pa9">
    <w:name w:val="Pa9"/>
    <w:basedOn w:val="a"/>
    <w:next w:val="a"/>
    <w:uiPriority w:val="99"/>
    <w:rsid w:val="00ED3BF4"/>
    <w:pPr>
      <w:autoSpaceDE w:val="0"/>
      <w:autoSpaceDN w:val="0"/>
      <w:adjustRightInd w:val="0"/>
      <w:spacing w:after="0" w:line="20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Default">
    <w:name w:val="Default"/>
    <w:rsid w:val="00FB0EE2"/>
    <w:pPr>
      <w:autoSpaceDE w:val="0"/>
      <w:autoSpaceDN w:val="0"/>
      <w:adjustRightInd w:val="0"/>
      <w:spacing w:line="240" w:lineRule="auto"/>
      <w:ind w:firstLine="0"/>
      <w:jc w:val="left"/>
    </w:pPr>
    <w:rPr>
      <w:rFonts w:ascii="PT Serif Caption" w:hAnsi="PT Serif Caption" w:cs="PT Serif Caption"/>
      <w:color w:val="000000"/>
      <w:sz w:val="24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5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D6C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2022-10-20T09:00:00Z</dcterms:created>
  <dcterms:modified xsi:type="dcterms:W3CDTF">2022-10-20T09:00:00Z</dcterms:modified>
</cp:coreProperties>
</file>