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84" w:rsidRPr="005A5385" w:rsidRDefault="005A5385" w:rsidP="00DA7284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eastAsiaTheme="minorHAnsi" w:cs="Roboto Black"/>
          <w:b/>
          <w:caps/>
          <w:color w:val="3C3C3B"/>
          <w:sz w:val="72"/>
          <w:szCs w:val="72"/>
          <w:lang w:eastAsia="en-US"/>
        </w:rPr>
      </w:pPr>
      <w:r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>муниципальный ликбез</w:t>
      </w:r>
    </w:p>
    <w:p w:rsidR="00D53E93" w:rsidRPr="00D53E93" w:rsidRDefault="00D53E93" w:rsidP="00D53E93">
      <w:pPr>
        <w:autoSpaceDE w:val="0"/>
        <w:autoSpaceDN w:val="0"/>
        <w:adjustRightInd w:val="0"/>
        <w:spacing w:after="0" w:line="288" w:lineRule="auto"/>
        <w:ind w:left="5240" w:firstLine="0"/>
        <w:jc w:val="righ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:rsidR="005A5385" w:rsidRPr="009646A5" w:rsidRDefault="005A5385" w:rsidP="005A5385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Roboto Black" w:eastAsiaTheme="minorHAnsi" w:hAnsi="Roboto Black" w:cs="Roboto Black"/>
          <w:b/>
          <w:color w:val="3C3C3B"/>
          <w:sz w:val="32"/>
          <w:szCs w:val="32"/>
          <w:lang w:eastAsia="en-US"/>
        </w:rPr>
      </w:pPr>
      <w:r w:rsidRPr="009646A5">
        <w:rPr>
          <w:rFonts w:ascii="Roboto Black" w:eastAsiaTheme="minorHAnsi" w:hAnsi="Roboto Black" w:cs="Roboto Black"/>
          <w:b/>
          <w:color w:val="3C3C3B"/>
          <w:sz w:val="32"/>
          <w:szCs w:val="32"/>
          <w:lang w:eastAsia="en-US"/>
        </w:rPr>
        <w:t xml:space="preserve">Дайджест мероприятий Совета муниципальных </w:t>
      </w:r>
    </w:p>
    <w:p w:rsidR="00DA7284" w:rsidRPr="005A5385" w:rsidRDefault="005A5385" w:rsidP="005A5385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z w:val="32"/>
          <w:szCs w:val="32"/>
          <w:lang w:eastAsia="en-US"/>
        </w:rPr>
      </w:pPr>
      <w:r w:rsidRPr="009646A5">
        <w:rPr>
          <w:rFonts w:ascii="Roboto Black" w:eastAsiaTheme="minorHAnsi" w:hAnsi="Roboto Black" w:cs="Roboto Black"/>
          <w:b/>
          <w:color w:val="3C3C3B"/>
          <w:sz w:val="32"/>
          <w:szCs w:val="32"/>
          <w:lang w:eastAsia="en-US"/>
        </w:rPr>
        <w:t>образований Томской области</w:t>
      </w:r>
    </w:p>
    <w:p w:rsidR="00D53E93" w:rsidRDefault="00D53E93" w:rsidP="00D53E93">
      <w:pPr>
        <w:ind w:left="4956"/>
      </w:pPr>
    </w:p>
    <w:p w:rsidR="00F11E6E" w:rsidRDefault="00F11E6E" w:rsidP="005A5385">
      <w:pPr>
        <w:pStyle w:val="af3"/>
        <w:rPr>
          <w:rFonts w:ascii="Roboto" w:hAnsi="Roboto" w:cs="Roboto"/>
          <w:b/>
          <w:bCs/>
          <w:sz w:val="36"/>
          <w:szCs w:val="36"/>
          <w:lang w:val="ru-RU"/>
        </w:rPr>
      </w:pPr>
      <w:r w:rsidRPr="00F11E6E">
        <w:rPr>
          <w:rFonts w:ascii="Roboto" w:hAnsi="Roboto" w:cs="Roboto"/>
          <w:b/>
          <w:bCs/>
          <w:sz w:val="36"/>
          <w:szCs w:val="36"/>
          <w:lang w:val="ru-RU"/>
        </w:rPr>
        <w:t>ЗЕМЕЛЬНЫЙ ВОПРОС: ЭПИЗОД № 1</w:t>
      </w:r>
    </w:p>
    <w:p w:rsidR="009646A5" w:rsidRPr="009646A5" w:rsidRDefault="00F11E6E" w:rsidP="005A5385">
      <w:pPr>
        <w:pStyle w:val="af3"/>
        <w:rPr>
          <w:rFonts w:asciiTheme="minorHAnsi" w:hAnsiTheme="minorHAnsi"/>
          <w:sz w:val="12"/>
          <w:lang w:val="ru-RU"/>
        </w:rPr>
      </w:pPr>
      <w:r w:rsidRPr="00F11E6E">
        <w:rPr>
          <w:rFonts w:cs="PT Serif Caption"/>
          <w:i/>
          <w:iCs/>
          <w:sz w:val="22"/>
          <w:szCs w:val="22"/>
          <w:lang w:val="ru-RU"/>
        </w:rPr>
        <w:t xml:space="preserve">Первое в этом году заседание секции юристов </w:t>
      </w:r>
      <w:proofErr w:type="gramStart"/>
      <w:r w:rsidRPr="00F11E6E">
        <w:rPr>
          <w:rFonts w:cs="PT Serif Caption"/>
          <w:i/>
          <w:iCs/>
          <w:sz w:val="22"/>
          <w:szCs w:val="22"/>
          <w:lang w:val="ru-RU"/>
        </w:rPr>
        <w:t>состоялось в конце января и было</w:t>
      </w:r>
      <w:proofErr w:type="gramEnd"/>
      <w:r w:rsidRPr="00F11E6E">
        <w:rPr>
          <w:rFonts w:cs="PT Serif Caption"/>
          <w:i/>
          <w:iCs/>
          <w:sz w:val="22"/>
          <w:szCs w:val="22"/>
          <w:lang w:val="ru-RU"/>
        </w:rPr>
        <w:t xml:space="preserve"> посвящено реализации Закона Томской области № 100-ОЗ «О земельных отношениях».</w:t>
      </w:r>
    </w:p>
    <w:p w:rsidR="009646A5" w:rsidRDefault="00F11E6E" w:rsidP="009646A5">
      <w:pPr>
        <w:pStyle w:val="af9"/>
        <w:ind w:firstLine="284"/>
      </w:pPr>
      <w:r w:rsidRPr="00F11E6E">
        <w:rPr>
          <w:rStyle w:val="A20"/>
          <w:rFonts w:ascii="Helvetica" w:hAnsi="Helvetica"/>
        </w:rPr>
        <w:t>Инициатором встречи муниципальных юристов выступила Администрация города Томска</w:t>
      </w:r>
    </w:p>
    <w:p w:rsidR="00F11E6E" w:rsidRPr="00F11E6E" w:rsidRDefault="00F11E6E" w:rsidP="00F11E6E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Чтобы оценить, насколько положения закона соответствуют требованиям времени, за круглым столом в Совете собрались юристы муниципалитетов, а также представители Администрации и Законодательной Думы Томской области. </w:t>
      </w:r>
    </w:p>
    <w:p w:rsidR="00F11E6E" w:rsidRPr="00F11E6E" w:rsidRDefault="00F11E6E" w:rsidP="00F11E6E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В основном, разговор шел о проблемных вопросах обеспечения земельными участками льготных категорий граждан.  Ограниченные ресурсы муниципалитетов, которые могут быть направлены на формирование земельных участков и обеспечение их инфраструктурой, не позволяют в короткие сроки предоставить участки всем желающим.  Таким образом, число предоставляемых земельных участков в разы меньше существующей потребности.</w:t>
      </w:r>
    </w:p>
    <w:p w:rsidR="00F11E6E" w:rsidRPr="00F11E6E" w:rsidRDefault="00F11E6E" w:rsidP="00F11E6E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proofErr w:type="gram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К слову, в настоящее время Совет муниципальных образований участвует в обсуждении проекта закона Томской области «О мерах социальной поддержки многодетных семей взамен предоставления им земельного участка на территории Томской области и о внесении изменений в отдельные законы Томской области», который направлен на сокращение в регионе числа многодетных семей, состоящих на учете в качестве нуждающихся в улучшении жилищных условий.</w:t>
      </w:r>
      <w:proofErr w:type="gramEnd"/>
    </w:p>
    <w:p w:rsidR="00F11E6E" w:rsidRPr="00F11E6E" w:rsidRDefault="00F11E6E" w:rsidP="00F11E6E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На 01.12.2022 в Томской области состояло на учете 1136 многодетных семей из 9 муниципальных образований. Большинство семей проживают в городе Томске (870), Томском районе (130) и ЗАТО Северск (100).</w:t>
      </w:r>
    </w:p>
    <w:p w:rsidR="00F11E6E" w:rsidRPr="00F11E6E" w:rsidRDefault="00F11E6E" w:rsidP="00F11E6E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При этом за последние три года участками обеспечено 279 семей. Из них только 62 земельных участка имеют подъездные пути и коммунальные сети. Каждая третья семья отказывалась от предложенных органами местного самоуправления земельных участков именно из-за отсутствия коммуникаций.</w:t>
      </w:r>
    </w:p>
    <w:p w:rsidR="00F11E6E" w:rsidRPr="00F11E6E" w:rsidRDefault="00F11E6E" w:rsidP="00F11E6E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Кроме того, по мнению администрации города Томска, отдельного внимания заслуживают ситуации, когда дети из многодетных семей получили земельные участки для индивидуального жилищного строительства (ИЖС) до 01.01.2021, будучи в составе этой семьи. Теперь эти граждане утратили право на приобретение земельного участка в собственность бесплатно, даже если сами обзаведутся тремя и более детьми. </w:t>
      </w:r>
    </w:p>
    <w:p w:rsidR="00F11E6E" w:rsidRPr="00F11E6E" w:rsidRDefault="00F11E6E" w:rsidP="00F11E6E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Участники встречи в формате «мозгового штурма» сформировали ряд предложений, которые еще предстоит проработать более детально. Например, насколько для бесплатного предоставления земли под ИЖС необходимо для всех граждан учитывать нуждаемость в жилье.</w:t>
      </w:r>
    </w:p>
    <w:p w:rsidR="00761A70" w:rsidRPr="00F11E6E" w:rsidRDefault="00F11E6E" w:rsidP="00F11E6E">
      <w:pPr>
        <w:pStyle w:val="af3"/>
        <w:ind w:firstLine="284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На следующем заседании секции представители муниципалитетов договорились обсудить административные процедуры по предоставлению земельных участков с использованием портала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Госуслуг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>, а также соотношение типовых административных регламентов и областного законодательства о земле.</w:t>
      </w:r>
    </w:p>
    <w:p w:rsidR="005A5385" w:rsidRPr="00F11E6E" w:rsidRDefault="009646A5" w:rsidP="00761A70"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softHyphen/>
      </w:r>
    </w:p>
    <w:p w:rsidR="00F11E6E" w:rsidRDefault="00F11E6E" w:rsidP="005A5385">
      <w:pPr>
        <w:pStyle w:val="af3"/>
        <w:rPr>
          <w:rFonts w:cs="Roboto"/>
          <w:b/>
          <w:bCs/>
          <w:sz w:val="36"/>
          <w:szCs w:val="36"/>
          <w:lang w:val="ru-RU"/>
        </w:rPr>
      </w:pPr>
    </w:p>
    <w:p w:rsidR="00E47A7B" w:rsidRDefault="00F11E6E" w:rsidP="005A5385">
      <w:pPr>
        <w:pStyle w:val="af3"/>
        <w:rPr>
          <w:rFonts w:cs="Roboto"/>
          <w:b/>
          <w:bCs/>
          <w:sz w:val="36"/>
          <w:szCs w:val="36"/>
          <w:lang w:val="ru-RU"/>
        </w:rPr>
      </w:pPr>
      <w:r w:rsidRPr="00F11E6E">
        <w:rPr>
          <w:rFonts w:cs="Roboto"/>
          <w:b/>
          <w:bCs/>
          <w:sz w:val="36"/>
          <w:szCs w:val="36"/>
          <w:lang w:val="ru-RU"/>
        </w:rPr>
        <w:lastRenderedPageBreak/>
        <w:t>ЗЕМЕЛЬНЫЙ ВОПРОС: ЭПИЗОД № 2</w:t>
      </w:r>
      <w:r w:rsidR="00E47A7B" w:rsidRPr="00E47A7B">
        <w:rPr>
          <w:rFonts w:cs="Roboto"/>
          <w:b/>
          <w:bCs/>
          <w:sz w:val="36"/>
          <w:szCs w:val="36"/>
          <w:lang w:val="ru-RU"/>
        </w:rPr>
        <w:t xml:space="preserve"> </w:t>
      </w:r>
    </w:p>
    <w:p w:rsidR="00F11E6E" w:rsidRDefault="00F11E6E" w:rsidP="00E47A7B">
      <w:pPr>
        <w:pStyle w:val="af3"/>
        <w:rPr>
          <w:rFonts w:cs="PT Serif Caption"/>
          <w:i/>
          <w:iCs/>
          <w:sz w:val="22"/>
          <w:szCs w:val="22"/>
          <w:lang w:val="ru-RU"/>
        </w:rPr>
      </w:pPr>
      <w:r w:rsidRPr="00F11E6E">
        <w:rPr>
          <w:rFonts w:cs="PT Serif Caption"/>
          <w:i/>
          <w:iCs/>
          <w:sz w:val="22"/>
          <w:szCs w:val="22"/>
          <w:lang w:val="ru-RU"/>
        </w:rPr>
        <w:t>В середине февраля Совет муниципальных образований совместно с региональным Департаментом по социально-экономическому развитию села провел семинар по финансовому обеспечению работ по подготовке проектов межевания земельных участков и проведению кадастровых работ.</w:t>
      </w:r>
    </w:p>
    <w:p w:rsidR="00F11E6E" w:rsidRDefault="00F11E6E" w:rsidP="00E47A7B">
      <w:pPr>
        <w:pStyle w:val="af3"/>
        <w:rPr>
          <w:rFonts w:cs="PT Serif Caption"/>
          <w:i/>
          <w:iCs/>
          <w:sz w:val="22"/>
          <w:szCs w:val="22"/>
          <w:lang w:val="ru-RU"/>
        </w:rPr>
      </w:pPr>
      <w:r w:rsidRPr="00F11E6E">
        <w:rPr>
          <w:rFonts w:cs="PT Serif Caption"/>
          <w:i/>
          <w:iCs/>
          <w:sz w:val="22"/>
          <w:szCs w:val="22"/>
          <w:lang w:val="ru-RU"/>
        </w:rPr>
        <w:t xml:space="preserve">Спикер семинара - </w:t>
      </w:r>
      <w:proofErr w:type="spellStart"/>
      <w:r w:rsidRPr="00F11E6E">
        <w:rPr>
          <w:rFonts w:cs="PT Serif Caption"/>
          <w:i/>
          <w:iCs/>
          <w:sz w:val="22"/>
          <w:szCs w:val="22"/>
          <w:lang w:val="ru-RU"/>
        </w:rPr>
        <w:t>Кустова</w:t>
      </w:r>
      <w:proofErr w:type="spellEnd"/>
      <w:r w:rsidRPr="00F11E6E">
        <w:rPr>
          <w:rFonts w:cs="PT Serif Caption"/>
          <w:i/>
          <w:iCs/>
          <w:sz w:val="22"/>
          <w:szCs w:val="22"/>
          <w:lang w:val="ru-RU"/>
        </w:rPr>
        <w:t xml:space="preserve"> Мария Петровна, главный специалист отдела по правовым и имущественным отношениям областного Департамента по социально-экономическому развитию села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Cs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 xml:space="preserve">С 2022 года в рамках федеральной программы «Вовлечение в оборот и комплексная мелиорация земель сельскохозяйственного назначения» муниципалитеты могут получить государственную поддержку. 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Cs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 xml:space="preserve">Она на 97% состоит из средств федерального и областного бюджетов и предоставляется местным бюджетам на </w:t>
      </w:r>
      <w:proofErr w:type="spellStart"/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>софинансирование</w:t>
      </w:r>
      <w:proofErr w:type="spellEnd"/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 xml:space="preserve"> мероприятий по подготовке проектов межевания земельных участков, выделяемых в счет невостребованных земельных долей, находящихся на день подготовки проектов межевания в собственности муниципальных образований. 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Cs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 xml:space="preserve">Также </w:t>
      </w:r>
      <w:proofErr w:type="spellStart"/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>софинансируются</w:t>
      </w:r>
      <w:proofErr w:type="spellEnd"/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 xml:space="preserve"> кадастровые работы в отношении отдельных земельных участков с последующим внесением сведений в Единый государственный реестр недвижимости.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Cs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 xml:space="preserve">В прошлом году в нашем регионе субсидией воспользовалось 21 муниципальное образование: 6 муниципальных районов и 15 сельских поселений. Объем поддержки составил 6,3 </w:t>
      </w:r>
      <w:proofErr w:type="gramStart"/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>млн</w:t>
      </w:r>
      <w:proofErr w:type="gramEnd"/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 xml:space="preserve"> рублей, из них 5,48 млн рублей из федерального бюджета. Муниципалитеты на эти средства оформили 13,3 тыс. гектар земельных участков. </w:t>
      </w:r>
    </w:p>
    <w:p w:rsidR="00E47A7B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Cs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iCs/>
          <w:sz w:val="20"/>
          <w:szCs w:val="20"/>
          <w:lang w:val="ru-RU"/>
        </w:rPr>
        <w:t>Однако практика  показала, что вопросы по освоению субсидии еще имеются, поэтому в ходе семинара дана пошаговая инструкция, как пройти отбор заявок, как правильно реализовывать субсидию и отчитаться за нее.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/>
          <w:sz w:val="16"/>
          <w:szCs w:val="16"/>
          <w:lang w:val="ru-RU"/>
        </w:rPr>
      </w:pPr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С 2022 года в рамках федеральной программы «Вовлечение в оборот и комплексная мелиорация земель сельскохозяйственного назначения» муниципалитеты могут получить государственную поддержку. 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/>
          <w:sz w:val="16"/>
          <w:szCs w:val="16"/>
          <w:lang w:val="ru-RU"/>
        </w:rPr>
      </w:pPr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Она на 97% состоит из средств федерального и областного бюджетов и предоставляется местным бюджетам на </w:t>
      </w:r>
      <w:proofErr w:type="spellStart"/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>софинансирование</w:t>
      </w:r>
      <w:proofErr w:type="spellEnd"/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 мероприятий по подготовке проектов межевания земельных участков, выделяемых в счет невостребованных земельных долей, находящихся на день подготовки проектов межевания в собственности муниципальных образований. 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/>
          <w:sz w:val="16"/>
          <w:szCs w:val="16"/>
          <w:lang w:val="ru-RU"/>
        </w:rPr>
      </w:pPr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Также </w:t>
      </w:r>
      <w:proofErr w:type="spellStart"/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>софинансируются</w:t>
      </w:r>
      <w:proofErr w:type="spellEnd"/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 кадастровые работы в отношении отдельных земельных участков с последующим внесением сведений в Единый государственный реестр недвижимости.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/>
          <w:sz w:val="16"/>
          <w:szCs w:val="16"/>
          <w:lang w:val="ru-RU"/>
        </w:rPr>
      </w:pPr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В прошлом году в нашем регионе субсидией воспользовалось 21 муниципальное образование: 6 муниципальных районов и 15 сельских поселений. Объем поддержки составил 6,3 </w:t>
      </w:r>
      <w:proofErr w:type="gramStart"/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>млн</w:t>
      </w:r>
      <w:proofErr w:type="gramEnd"/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 рублей, из них 5,48 млн рублей из федерального бюджета. Муниципалитеты на эти средства оформили 13,3 тыс. гектар земельных участков. </w:t>
      </w:r>
    </w:p>
    <w:p w:rsidR="00F11E6E" w:rsidRPr="00F11E6E" w:rsidRDefault="00F11E6E" w:rsidP="00F11E6E">
      <w:pPr>
        <w:pStyle w:val="af3"/>
        <w:ind w:firstLine="280"/>
        <w:rPr>
          <w:rFonts w:ascii="PT Serif Caption" w:hAnsi="PT Serif Caption" w:cs="PT Serif Caption"/>
          <w:i/>
          <w:sz w:val="16"/>
          <w:szCs w:val="16"/>
          <w:lang w:val="ru-RU"/>
        </w:rPr>
      </w:pPr>
      <w:r w:rsidRPr="00F11E6E">
        <w:rPr>
          <w:rFonts w:ascii="PT Serif Caption" w:hAnsi="PT Serif Caption" w:cs="PT Serif Caption"/>
          <w:i/>
          <w:sz w:val="16"/>
          <w:szCs w:val="16"/>
          <w:lang w:val="ru-RU"/>
        </w:rPr>
        <w:t>Однако практика  показала, что вопросы по освоению субсидии еще имеются, поэтому в ходе семинара дана пошаговая инструкция, как пройти отбор заявок, как правильно реализовывать субсидию и отчитаться за нее.</w:t>
      </w:r>
    </w:p>
    <w:p w:rsidR="00BD0520" w:rsidRPr="00E47A7B" w:rsidRDefault="00BD0520" w:rsidP="00E47A7B">
      <w:pPr>
        <w:pStyle w:val="af3"/>
        <w:ind w:firstLine="280"/>
        <w:rPr>
          <w:rFonts w:ascii="PT Serif Caption" w:hAnsi="PT Serif Caption"/>
          <w:sz w:val="20"/>
          <w:szCs w:val="20"/>
          <w:lang w:val="ru-RU"/>
        </w:rPr>
      </w:pPr>
    </w:p>
    <w:p w:rsidR="005A5385" w:rsidRPr="005A5385" w:rsidRDefault="00F11E6E" w:rsidP="005A5385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F11E6E">
        <w:rPr>
          <w:rFonts w:cs="Roboto"/>
          <w:b/>
          <w:bCs/>
          <w:color w:val="000000"/>
          <w:sz w:val="36"/>
          <w:szCs w:val="36"/>
        </w:rPr>
        <w:t>ДЛЯ РАБОТЫ НАД ОШИБКАМИ</w:t>
      </w:r>
    </w:p>
    <w:p w:rsidR="00BD0520" w:rsidRDefault="00F11E6E" w:rsidP="00BD0520">
      <w:pPr>
        <w:pStyle w:val="af9"/>
        <w:ind w:right="708"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1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Очередной семинар, проходивший на площадке Совета, касался вопросов предоставления муниципальных услуг.</w:t>
      </w:r>
    </w:p>
    <w:p w:rsidR="00F11E6E" w:rsidRPr="00F11E6E" w:rsidRDefault="00F11E6E" w:rsidP="00F11E6E">
      <w:pPr>
        <w:pStyle w:val="af3"/>
        <w:rPr>
          <w:iCs/>
          <w:lang w:val="ru-RU"/>
        </w:rPr>
      </w:pPr>
      <w:r w:rsidRPr="00F11E6E">
        <w:rPr>
          <w:iCs/>
          <w:lang w:val="ru-RU"/>
        </w:rPr>
        <w:t>Автор и ведущий семинара Анастасия Сергеевна Антонова, старший советник юстиции в отставке, проанализировала соответствующую правовую базу муниципальных образований и представила обзор наиболее типичных недостатков.</w:t>
      </w:r>
    </w:p>
    <w:p w:rsidR="00F11E6E" w:rsidRPr="00F11E6E" w:rsidRDefault="00F11E6E" w:rsidP="00F11E6E">
      <w:pPr>
        <w:pStyle w:val="af3"/>
        <w:rPr>
          <w:iCs/>
          <w:lang w:val="ru-RU"/>
        </w:rPr>
      </w:pPr>
      <w:r w:rsidRPr="00F11E6E">
        <w:rPr>
          <w:iCs/>
          <w:lang w:val="ru-RU"/>
        </w:rPr>
        <w:t xml:space="preserve">– В 2022 году в сфере предоставления муниципальных услуг выявлена тысяча нарушений, – начала со статистики Анастасия Сергеевна. – Треть из них связана именно с недостатками правового регулирования. На муниципальные правовые акты вынесено более 300 протестов. </w:t>
      </w:r>
    </w:p>
    <w:p w:rsidR="00F11E6E" w:rsidRPr="00F11E6E" w:rsidRDefault="00F11E6E" w:rsidP="00F11E6E">
      <w:pPr>
        <w:pStyle w:val="af3"/>
        <w:rPr>
          <w:iCs/>
          <w:lang w:val="ru-RU"/>
        </w:rPr>
      </w:pPr>
      <w:r w:rsidRPr="00F11E6E">
        <w:rPr>
          <w:iCs/>
          <w:lang w:val="ru-RU"/>
        </w:rPr>
        <w:t xml:space="preserve">Согласно представленной информации, корректировки требуют не только административные регламенты, но и порядки их разработки и утверждения. Так, например,  муниципалитеты зачастую вводят собственные определения тем понятиям, которые уже предусмотрены в федеральном законодательстве. </w:t>
      </w:r>
    </w:p>
    <w:p w:rsidR="00F11E6E" w:rsidRPr="00F11E6E" w:rsidRDefault="00F11E6E" w:rsidP="00F11E6E">
      <w:pPr>
        <w:pStyle w:val="af3"/>
        <w:rPr>
          <w:iCs/>
          <w:lang w:val="ru-RU"/>
        </w:rPr>
      </w:pPr>
      <w:r w:rsidRPr="00F11E6E">
        <w:rPr>
          <w:iCs/>
          <w:lang w:val="ru-RU"/>
        </w:rPr>
        <w:lastRenderedPageBreak/>
        <w:t>Или, наоборот, дословно воспроизводится предмет и процедура обжалования, предусмотренные в Федеральном законе от 27 июля 2010 года № 210-ФЗ «Об организации предоставления государственных и муниципальных услуг».</w:t>
      </w:r>
    </w:p>
    <w:p w:rsidR="00F11E6E" w:rsidRDefault="00F11E6E" w:rsidP="00F11E6E">
      <w:pPr>
        <w:pStyle w:val="af3"/>
        <w:rPr>
          <w:iCs/>
          <w:lang w:val="ru-RU"/>
        </w:rPr>
      </w:pPr>
      <w:r w:rsidRPr="00F11E6E">
        <w:rPr>
          <w:iCs/>
          <w:lang w:val="ru-RU"/>
        </w:rPr>
        <w:t xml:space="preserve">Что касается самих административных регламентов, то они также часто механически дублируют положения других нормативных актов, регламентирующих те же административные процедуры, а также не содержат логически структурированного последовательного описания административных процедур. </w:t>
      </w:r>
    </w:p>
    <w:p w:rsidR="00F11E6E" w:rsidRDefault="00F11E6E" w:rsidP="00F11E6E">
      <w:pPr>
        <w:pStyle w:val="af3"/>
        <w:rPr>
          <w:iCs/>
          <w:lang w:val="ru-RU"/>
        </w:rPr>
      </w:pPr>
    </w:p>
    <w:p w:rsidR="005A5385" w:rsidRPr="005A5385" w:rsidRDefault="00F11E6E" w:rsidP="009416EC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F11E6E">
        <w:rPr>
          <w:rFonts w:ascii="Roboto" w:eastAsiaTheme="minorHAnsi" w:hAnsi="Roboto" w:cs="Roboto"/>
          <w:b/>
          <w:bCs/>
          <w:color w:val="000000"/>
          <w:sz w:val="36"/>
          <w:szCs w:val="36"/>
          <w:lang w:eastAsia="en-US"/>
        </w:rPr>
        <w:t>700 ТЫСЯЧ – НАЧИНАЮЩЕМУ ПРЕДПРИНИМАТЕЛЮ</w:t>
      </w:r>
    </w:p>
    <w:p w:rsidR="00F11E6E" w:rsidRDefault="00F11E6E" w:rsidP="00F11E6E">
      <w:pPr>
        <w:pStyle w:val="af9"/>
      </w:pPr>
      <w:r w:rsidRPr="00F11E6E">
        <w:rPr>
          <w:rFonts w:ascii="Times New Roman" w:hAnsi="Times New Roman" w:cs="Times New Roman"/>
          <w:i/>
          <w:iCs/>
          <w:color w:val="000000"/>
          <w:sz w:val="22"/>
          <w:szCs w:val="22"/>
        </w:rPr>
        <w:t>Совместно с региональным Департаментом по развитию инновационной и предпринимательской деятельности Совет муниципальных образований Томской области организовал семинар о государственной поддержке субъектов малого и среднего предпринимательства.</w:t>
      </w:r>
      <w:r w:rsidRPr="00F11E6E">
        <w:t xml:space="preserve"> </w:t>
      </w:r>
    </w:p>
    <w:p w:rsidR="009416EC" w:rsidRPr="009416EC" w:rsidRDefault="00F11E6E" w:rsidP="00F11E6E">
      <w:pPr>
        <w:pStyle w:val="af9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11E6E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Ведущие семинара обратили внимание, что не во всех муниципалитетах предусмотрены какие-либо проверочные (контрольные) мероприятия по использованию предпринимателями средств субсидии</w:t>
      </w:r>
      <w:r w:rsidR="009416EC" w:rsidRPr="009416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F11E6E" w:rsidRPr="00F11E6E" w:rsidRDefault="00F11E6E" w:rsidP="00F11E6E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Семинар условно был поделен на три содержательные части: новеллы законодательства, новые формы контроля и процедура проверки участников отбора. </w:t>
      </w:r>
    </w:p>
    <w:p w:rsidR="00F11E6E" w:rsidRPr="00F11E6E" w:rsidRDefault="00F11E6E" w:rsidP="00F11E6E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Если говорить о новшествах в правовом регулировании, то в начале марта с учетом мнения муниципалитетов были внесены следующие основные изменения в областной Порядок предоставления и распределения субсидий местным бюджетам по расходам, направленным на развитие малого и среднего предпринимательства: </w:t>
      </w:r>
    </w:p>
    <w:p w:rsidR="00F11E6E" w:rsidRPr="00F11E6E" w:rsidRDefault="00F11E6E" w:rsidP="00F11E6E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До 700 тысяч увеличена максимальная сумма субсидии на один предпринимательский проект. </w:t>
      </w:r>
    </w:p>
    <w:p w:rsidR="00F11E6E" w:rsidRPr="00F11E6E" w:rsidRDefault="00F11E6E" w:rsidP="00F11E6E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Расширены направления субсидирования затрат, возникающих при реализации </w:t>
      </w:r>
      <w:proofErr w:type="gramStart"/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бизнес-проекта</w:t>
      </w:r>
      <w:proofErr w:type="gramEnd"/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, расходами «на ремонт нежилого помещения, включая приобретение строительных материалов, оборудования, необходимого для ремонта помещения». </w:t>
      </w:r>
    </w:p>
    <w:p w:rsidR="00F11E6E" w:rsidRPr="00F11E6E" w:rsidRDefault="00F11E6E" w:rsidP="00F11E6E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В список видов деятельности, которые учитываются при предоставлении субсидий субъектам МСП, включена деятельность туристических агентств и прочих организаций, предоставляющих услуги в сфере внутреннего туризма. </w:t>
      </w:r>
    </w:p>
    <w:p w:rsidR="00F11E6E" w:rsidRPr="00F11E6E" w:rsidRDefault="00F11E6E" w:rsidP="00F11E6E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Кроме того, с 1 января 2023 года в отношении региональных (муниципальных) мер поддержки начали действовать правила проведения мониторинга результатов предоставления субсидий (Приказ Минфина РФ от 29.09.2021 № 138н).</w:t>
      </w:r>
    </w:p>
    <w:p w:rsidR="00F11E6E" w:rsidRPr="00F11E6E" w:rsidRDefault="00F11E6E" w:rsidP="00F11E6E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Здесь спикеры семинара предложили при </w:t>
      </w:r>
      <w:proofErr w:type="spellStart"/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осуществении</w:t>
      </w:r>
      <w:proofErr w:type="spellEnd"/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</w:t>
      </w:r>
      <w:proofErr w:type="gramStart"/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контроля за</w:t>
      </w:r>
      <w:proofErr w:type="gramEnd"/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использованием предпринимателями средств субсидии воспользоваться разработанной формой отчета, а также дали рекомендации по организации проверок на стадии отбора и в процессе реализации предпринимательского проекта.</w:t>
      </w:r>
    </w:p>
    <w:p w:rsidR="00F11E6E" w:rsidRDefault="00F11E6E" w:rsidP="00F11E6E">
      <w:pPr>
        <w:autoSpaceDE w:val="0"/>
        <w:autoSpaceDN w:val="0"/>
        <w:adjustRightInd w:val="0"/>
        <w:spacing w:after="0" w:line="201" w:lineRule="atLeast"/>
        <w:ind w:firstLine="0"/>
        <w:jc w:val="lef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F11E6E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И первое, что необходимо сделать - это внести соответствующие изменения в муниципальные правовые акты.</w:t>
      </w:r>
    </w:p>
    <w:p w:rsidR="009416EC" w:rsidRPr="009416EC" w:rsidRDefault="009416EC" w:rsidP="00CF203F">
      <w:pPr>
        <w:pStyle w:val="af3"/>
        <w:ind w:right="1842"/>
        <w:rPr>
          <w:rFonts w:asciiTheme="minorHAnsi" w:hAnsiTheme="minorHAnsi" w:cs="Roboto Bold"/>
          <w:b/>
          <w:bCs/>
          <w:color w:val="3C3C3B"/>
          <w:sz w:val="20"/>
          <w:szCs w:val="36"/>
          <w:lang w:val="ru-RU"/>
        </w:rPr>
      </w:pPr>
    </w:p>
    <w:p w:rsidR="00297007" w:rsidRDefault="00F11E6E" w:rsidP="009416EC">
      <w:pPr>
        <w:pStyle w:val="af3"/>
        <w:ind w:right="1842"/>
        <w:rPr>
          <w:rFonts w:asciiTheme="minorHAnsi" w:hAnsiTheme="minorHAnsi" w:cs="Roboto Bold"/>
          <w:b/>
          <w:bCs/>
          <w:color w:val="3C3C3B"/>
          <w:sz w:val="36"/>
          <w:szCs w:val="36"/>
          <w:lang w:val="ru-RU"/>
        </w:rPr>
      </w:pPr>
      <w:r w:rsidRPr="00F11E6E">
        <w:rPr>
          <w:rFonts w:ascii="Roboto" w:hAnsi="Roboto" w:cs="Roboto"/>
          <w:b/>
          <w:bCs/>
          <w:sz w:val="36"/>
          <w:szCs w:val="36"/>
          <w:lang w:val="ru-RU"/>
        </w:rPr>
        <w:t>ЖИЛИЩНЫЕ СЕРТИФИКАТЫ ДЛЯ СИРОТ</w:t>
      </w:r>
    </w:p>
    <w:p w:rsidR="00297007" w:rsidRPr="009416EC" w:rsidRDefault="00F11E6E" w:rsidP="00CF203F">
      <w:pPr>
        <w:pStyle w:val="af9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11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Представители Департамента по вопросам семьи и детей Томской области в ходе совещания, организованного в Совете в середине марта, рассказали сотрудникам муниципалитетов об изменениях в порядке предоставления жилищных сертификатов детям-сиротам и подвели итоги прошлого «пилотного» года.</w:t>
      </w:r>
      <w:r w:rsidR="009416EC" w:rsidRPr="009416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97007" w:rsidRPr="0094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По общему правилу жилищные сертификаты могут получить достигшие 23 лет лица из числа детей-сирот, у которых есть вступившее в законную силу судебное решение, по которому местная администрация обязана предоставить им жилье. 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С этого года сняты ограничения по сроку вступления в силу судебного решения и дате рождения заявителя. Ранее сертификаты предоставлялись тем сиротам, у которых 23-летний возраст и решение суда наступали с определенной даты - 1 мая 2022 года. Кроме того, теперь для получения сертификата не являются обязательными трудовой стаж или занятость. 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lastRenderedPageBreak/>
        <w:t>Получатели сертификатов, как и прежде, должны быть социализированными: не иметь долгов по налогам и алиментам, а также непогашенной судимости за умышленные преступления, не являться недееспособным и не состоять на учете в психоневрологическом или наркологическом диспансере.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Спикеры обратили внимание слушателей на необходимость усилить разъяснительную и консультационную работу с нуждающимися в жилье из категории детей-сирот и детей, оставшихся без попечения родителей.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– Государственный жилищный сертификат, который у нас введен с прошлого года, показал свою жизнеспособность, – отметила заместитель начальника департамента Крымская Светлана Марковна. – По предварительным расчетам право на получение этой меры социальной поддержки имели 75 человек. Учитывая, что некоторые граждане все-таки не подошли по критериям, единицы отказались, фактически было выдано 65 сертификатов. Поэтому именно на жилищный сертификат сегодня делается большая ставка для того, чтобы ускорить обеспечение жильем детей-сирот.</w:t>
      </w:r>
    </w:p>
    <w:p w:rsidR="0038231E" w:rsidRDefault="00F11E6E" w:rsidP="00F11E6E">
      <w:pPr>
        <w:pStyle w:val="af3"/>
        <w:ind w:right="-1" w:firstLine="284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Информация о жилищных сертификатах для сирот (правила, критерии и порядок их предоставления, формы необходимых документов) размещена на сайте Департамента по вопросам семьи и детей.</w:t>
      </w:r>
    </w:p>
    <w:p w:rsidR="0038231E" w:rsidRDefault="00F11E6E" w:rsidP="00F11E6E">
      <w:pPr>
        <w:pStyle w:val="af3"/>
        <w:ind w:right="-1"/>
        <w:rPr>
          <w:rFonts w:cs="Helvetica"/>
          <w:i/>
          <w:iCs/>
          <w:sz w:val="16"/>
          <w:szCs w:val="16"/>
          <w:lang w:val="ru-RU"/>
        </w:rPr>
      </w:pPr>
      <w:r w:rsidRPr="00F11E6E">
        <w:rPr>
          <w:rFonts w:cs="Helvetica"/>
          <w:i/>
          <w:iCs/>
          <w:sz w:val="16"/>
          <w:szCs w:val="16"/>
          <w:lang w:val="ru-RU"/>
        </w:rPr>
        <w:t xml:space="preserve">На сегодняшний день в Томской области </w:t>
      </w:r>
      <w:r>
        <w:rPr>
          <w:rFonts w:cs="Helvetica"/>
          <w:i/>
          <w:iCs/>
          <w:sz w:val="16"/>
          <w:szCs w:val="16"/>
          <w:lang w:val="ru-RU"/>
        </w:rPr>
        <w:t xml:space="preserve"> </w:t>
      </w:r>
      <w:r w:rsidRPr="00F11E6E">
        <w:rPr>
          <w:rFonts w:cs="Helvetica"/>
          <w:i/>
          <w:iCs/>
          <w:sz w:val="16"/>
          <w:szCs w:val="16"/>
          <w:lang w:val="ru-RU"/>
        </w:rPr>
        <w:t>в очереди на получение жилья состоят порядка 1,5 тысяч детей-сирот</w:t>
      </w:r>
      <w:r w:rsidR="0038231E" w:rsidRPr="0038231E">
        <w:rPr>
          <w:rFonts w:cs="Helvetica"/>
          <w:i/>
          <w:iCs/>
          <w:sz w:val="16"/>
          <w:szCs w:val="16"/>
          <w:lang w:val="ru-RU"/>
        </w:rPr>
        <w:t>.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b/>
          <w:lang w:val="ru-RU"/>
        </w:rPr>
      </w:pPr>
      <w:r w:rsidRPr="00F11E6E">
        <w:rPr>
          <w:rFonts w:ascii="PT Serif Caption" w:hAnsi="PT Serif Caption" w:cs="PT Serif Caption"/>
          <w:b/>
          <w:lang w:val="ru-RU"/>
        </w:rPr>
        <w:t>МОБИЛЬНЫЙ ТЕХНОПАРК В РАЙОНАХ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i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i/>
          <w:sz w:val="20"/>
          <w:szCs w:val="20"/>
          <w:lang w:val="ru-RU"/>
        </w:rPr>
        <w:t>В рамках работы делового клуба «</w:t>
      </w:r>
      <w:proofErr w:type="spellStart"/>
      <w:r w:rsidRPr="00F11E6E">
        <w:rPr>
          <w:rFonts w:ascii="PT Serif Caption" w:hAnsi="PT Serif Caption" w:cs="PT Serif Caption"/>
          <w:i/>
          <w:sz w:val="20"/>
          <w:szCs w:val="20"/>
          <w:lang w:val="ru-RU"/>
        </w:rPr>
        <w:t>Социалочка</w:t>
      </w:r>
      <w:proofErr w:type="spellEnd"/>
      <w:r w:rsidRPr="00F11E6E">
        <w:rPr>
          <w:rFonts w:ascii="PT Serif Caption" w:hAnsi="PT Serif Caption" w:cs="PT Serif Caption"/>
          <w:i/>
          <w:sz w:val="20"/>
          <w:szCs w:val="20"/>
          <w:lang w:val="ru-RU"/>
        </w:rPr>
        <w:t>» заместители глав муниципальных районов и городских округов по социальным вопросам, а также представители образовательных учреждений обсудили практику взаимодействия муниципалитетов с Детским технопарком «</w:t>
      </w:r>
      <w:proofErr w:type="spellStart"/>
      <w:r w:rsidRPr="00F11E6E">
        <w:rPr>
          <w:rFonts w:ascii="PT Serif Caption" w:hAnsi="PT Serif Caption" w:cs="PT Serif Caption"/>
          <w:i/>
          <w:sz w:val="20"/>
          <w:szCs w:val="20"/>
          <w:lang w:val="ru-RU"/>
        </w:rPr>
        <w:t>Кванториум</w:t>
      </w:r>
      <w:proofErr w:type="spellEnd"/>
      <w:r w:rsidRPr="00F11E6E">
        <w:rPr>
          <w:rFonts w:ascii="PT Serif Caption" w:hAnsi="PT Serif Caption" w:cs="PT Serif Caption"/>
          <w:i/>
          <w:sz w:val="20"/>
          <w:szCs w:val="20"/>
          <w:lang w:val="ru-RU"/>
        </w:rPr>
        <w:t>».</w:t>
      </w:r>
    </w:p>
    <w:p w:rsid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Если быть точнее, речь шла о работе Мобильного «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Кванториума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>», который был открыт в 2020 году для обучения детей в отдаленных районах Томской области.</w:t>
      </w:r>
    </w:p>
    <w:p w:rsidR="00725C06" w:rsidRPr="00725C06" w:rsidRDefault="00725C06" w:rsidP="00725C06">
      <w:pPr>
        <w:pStyle w:val="af3"/>
        <w:ind w:right="-1"/>
        <w:rPr>
          <w:rFonts w:ascii="PT Serif Caption" w:hAnsi="PT Serif Caption" w:cs="PT Serif Caption"/>
          <w:i/>
          <w:sz w:val="16"/>
          <w:szCs w:val="16"/>
          <w:lang w:val="ru-RU"/>
        </w:rPr>
      </w:pPr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За 3 года компетенции по новым технологиям в Мобильном «</w:t>
      </w:r>
      <w:proofErr w:type="spellStart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Кванториуме</w:t>
      </w:r>
      <w:proofErr w:type="spellEnd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» получили более 3 тысяч школьников из 15 районов Томской области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– Мы работаем по шести базовым направлениям, – напомнила участникам встречи директор учреждения Полина Игоревна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Мозгалева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>, – и под них у нас закуплено все необходимое оборудование, вплоть до ноутбуков. Единственное, что нам требуется на выезде в муниципалитетах – это помещение, интернет и дети.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По словам спикеров, с 2020 года учащиеся Мобильного «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Кванториума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» разработали более 20 проектов, которые имеют реальную пользу и могут использоваться на деле. 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Например,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молчановские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 школьники создали подробную интерактивную карту села, а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асиновские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 ученики собрали тренажер для дальтоников и разработали 3D-план эвакуации своей школы №5, который поможет быстрее ориентироваться в чрезвычайной ситуации. 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В Зырянском районе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кванторианцы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 сделали игровой автомат с ретро-играми и устройство для выращивания авокадо в домашних условиях, в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Кривошеинском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 районе – механизированный протез руки, а в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Верхнекетском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 –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квадрокоптер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 для обнаружения лесных пожаров на основе нейронной сети.</w:t>
      </w:r>
    </w:p>
    <w:p w:rsidR="00F11E6E" w:rsidRP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– Эти проекты возникают не просто так, – продолжает разговор Полина Игоревна, – зачастую сами ребята, их друзья или родственники просто сталкивались с определенной проблемой и соответственно они заинтересованы ее </w:t>
      </w:r>
      <w:proofErr w:type="gram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решить</w:t>
      </w:r>
      <w:proofErr w:type="gram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. </w:t>
      </w:r>
    </w:p>
    <w:p w:rsidR="00725C06" w:rsidRPr="00725C06" w:rsidRDefault="00725C06" w:rsidP="00725C06">
      <w:pPr>
        <w:pStyle w:val="af3"/>
        <w:ind w:right="-1"/>
        <w:rPr>
          <w:rFonts w:ascii="PT Serif Caption" w:hAnsi="PT Serif Caption" w:cs="PT Serif Caption"/>
          <w:i/>
          <w:sz w:val="16"/>
          <w:szCs w:val="16"/>
          <w:lang w:val="ru-RU"/>
        </w:rPr>
      </w:pPr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В </w:t>
      </w:r>
      <w:proofErr w:type="spellStart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Каргасокском</w:t>
      </w:r>
      <w:proofErr w:type="spellEnd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, </w:t>
      </w:r>
      <w:proofErr w:type="spellStart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Молчановском</w:t>
      </w:r>
      <w:proofErr w:type="spellEnd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, </w:t>
      </w:r>
      <w:proofErr w:type="spellStart"/>
      <w:proofErr w:type="gramStart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Парабельском</w:t>
      </w:r>
      <w:proofErr w:type="spellEnd"/>
      <w:proofErr w:type="gramEnd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, </w:t>
      </w:r>
      <w:proofErr w:type="spellStart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Асиновском</w:t>
      </w:r>
      <w:proofErr w:type="spellEnd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 и </w:t>
      </w:r>
      <w:proofErr w:type="spellStart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Шегарском</w:t>
      </w:r>
      <w:proofErr w:type="spellEnd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 xml:space="preserve"> районах результатами работы учеников Мобильного «</w:t>
      </w:r>
      <w:proofErr w:type="spellStart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Кванториума</w:t>
      </w:r>
      <w:proofErr w:type="spellEnd"/>
      <w:r w:rsidRPr="00725C06">
        <w:rPr>
          <w:rFonts w:ascii="PT Serif Caption" w:hAnsi="PT Serif Caption" w:cs="PT Serif Caption"/>
          <w:i/>
          <w:sz w:val="16"/>
          <w:szCs w:val="16"/>
          <w:lang w:val="ru-RU"/>
        </w:rPr>
        <w:t>» стали интерактивные 3D-туры по музеям и историческим местам</w:t>
      </w:r>
    </w:p>
    <w:p w:rsidR="00F11E6E" w:rsidRDefault="00F11E6E" w:rsidP="00F11E6E">
      <w:pPr>
        <w:pStyle w:val="af3"/>
        <w:ind w:right="-1"/>
        <w:rPr>
          <w:rFonts w:ascii="PT Serif Caption" w:hAnsi="PT Serif Caption" w:cs="PT Serif Caption"/>
          <w:sz w:val="20"/>
          <w:szCs w:val="20"/>
          <w:lang w:val="ru-RU"/>
        </w:rPr>
      </w:pPr>
      <w:r w:rsidRPr="00F11E6E">
        <w:rPr>
          <w:rFonts w:ascii="PT Serif Caption" w:hAnsi="PT Serif Caption" w:cs="PT Serif Caption"/>
          <w:sz w:val="20"/>
          <w:szCs w:val="20"/>
          <w:lang w:val="ru-RU"/>
        </w:rPr>
        <w:t>Так, в следующем году по согласованию с муниципалитетами Мобильный «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Кванториум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>» будет реализовывать новое направление «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Биоквантум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», включающее две программы: </w:t>
      </w:r>
      <w:proofErr w:type="spell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агробиотехнологии</w:t>
      </w:r>
      <w:proofErr w:type="spell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 и цифровое земледелие. Также планируется расширить и охват территорий, запустив мобильный технопарк в </w:t>
      </w:r>
      <w:proofErr w:type="gramStart"/>
      <w:r w:rsidRPr="00F11E6E">
        <w:rPr>
          <w:rFonts w:ascii="PT Serif Caption" w:hAnsi="PT Serif Caption" w:cs="PT Serif Caption"/>
          <w:sz w:val="20"/>
          <w:szCs w:val="20"/>
          <w:lang w:val="ru-RU"/>
        </w:rPr>
        <w:t>северные</w:t>
      </w:r>
      <w:proofErr w:type="gramEnd"/>
      <w:r w:rsidRPr="00F11E6E">
        <w:rPr>
          <w:rFonts w:ascii="PT Serif Caption" w:hAnsi="PT Serif Caption" w:cs="PT Serif Caption"/>
          <w:sz w:val="20"/>
          <w:szCs w:val="20"/>
          <w:lang w:val="ru-RU"/>
        </w:rPr>
        <w:t xml:space="preserve"> Стрежевой, Кедровый и Александровский район.</w:t>
      </w:r>
    </w:p>
    <w:p w:rsidR="00725C06" w:rsidRPr="00725C06" w:rsidRDefault="00725C06">
      <w:pPr>
        <w:pStyle w:val="af3"/>
        <w:ind w:right="-1"/>
        <w:rPr>
          <w:rFonts w:ascii="PT Serif Caption" w:hAnsi="PT Serif Caption" w:cs="PT Serif Caption"/>
          <w:i/>
          <w:sz w:val="16"/>
          <w:szCs w:val="16"/>
          <w:lang w:val="ru-RU"/>
        </w:rPr>
      </w:pPr>
      <w:bookmarkStart w:id="0" w:name="_GoBack"/>
      <w:bookmarkEnd w:id="0"/>
    </w:p>
    <w:sectPr w:rsidR="00725C06" w:rsidRPr="00725C06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6E" w:rsidRDefault="00F11E6E" w:rsidP="002868CF">
      <w:r>
        <w:separator/>
      </w:r>
    </w:p>
  </w:endnote>
  <w:endnote w:type="continuationSeparator" w:id="0">
    <w:p w:rsidR="00F11E6E" w:rsidRDefault="00F11E6E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6E" w:rsidRDefault="00F11E6E" w:rsidP="002868CF">
      <w:r>
        <w:separator/>
      </w:r>
    </w:p>
  </w:footnote>
  <w:footnote w:type="continuationSeparator" w:id="0">
    <w:p w:rsidR="00F11E6E" w:rsidRDefault="00F11E6E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6E" w:rsidRPr="00B05AC3" w:rsidRDefault="00F11E6E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color w:val="auto"/>
        <w:sz w:val="20"/>
        <w:szCs w:val="20"/>
      </w:rPr>
      <w:t>ЯНВАРЬ-МАРТ  2023</w:t>
    </w:r>
  </w:p>
  <w:p w:rsidR="00F11E6E" w:rsidRDefault="00F11E6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F11E6E" w:rsidRDefault="00F11E6E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F11E6E" w:rsidRPr="00B05AC3" w:rsidRDefault="00F11E6E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74C"/>
    <w:multiLevelType w:val="hybridMultilevel"/>
    <w:tmpl w:val="589817E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A7582E"/>
    <w:multiLevelType w:val="hybridMultilevel"/>
    <w:tmpl w:val="2F508CB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62F30"/>
    <w:rsid w:val="00270ADC"/>
    <w:rsid w:val="002825CD"/>
    <w:rsid w:val="002868CF"/>
    <w:rsid w:val="002900D3"/>
    <w:rsid w:val="0029469C"/>
    <w:rsid w:val="00297007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231E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A5385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25C06"/>
    <w:rsid w:val="007320D0"/>
    <w:rsid w:val="00735C5C"/>
    <w:rsid w:val="0074144F"/>
    <w:rsid w:val="00747464"/>
    <w:rsid w:val="00750963"/>
    <w:rsid w:val="0075387B"/>
    <w:rsid w:val="00754555"/>
    <w:rsid w:val="00754DEC"/>
    <w:rsid w:val="00761A70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416EC"/>
    <w:rsid w:val="009646A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0520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CF203F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47A7B"/>
    <w:rsid w:val="00E65CE7"/>
    <w:rsid w:val="00E67949"/>
    <w:rsid w:val="00E70AA2"/>
    <w:rsid w:val="00E71713"/>
    <w:rsid w:val="00E80BF6"/>
    <w:rsid w:val="00E91CE2"/>
    <w:rsid w:val="00EA0BDD"/>
    <w:rsid w:val="00EA22C3"/>
    <w:rsid w:val="00EA7590"/>
    <w:rsid w:val="00EC0634"/>
    <w:rsid w:val="00ED1950"/>
    <w:rsid w:val="00EF66F0"/>
    <w:rsid w:val="00F11E6E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15C9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character" w:customStyle="1" w:styleId="A20">
    <w:name w:val="A2"/>
    <w:uiPriority w:val="99"/>
    <w:rsid w:val="009646A5"/>
    <w:rPr>
      <w:rFonts w:cs="Helvetica"/>
      <w:i/>
      <w:iCs/>
      <w:color w:val="000000"/>
      <w:sz w:val="18"/>
      <w:szCs w:val="18"/>
    </w:rPr>
  </w:style>
  <w:style w:type="paragraph" w:customStyle="1" w:styleId="Pa4">
    <w:name w:val="Pa4"/>
    <w:basedOn w:val="a"/>
    <w:next w:val="a"/>
    <w:uiPriority w:val="99"/>
    <w:rsid w:val="009646A5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9">
    <w:name w:val="Pa9"/>
    <w:basedOn w:val="a"/>
    <w:next w:val="a"/>
    <w:uiPriority w:val="99"/>
    <w:rsid w:val="009646A5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Default">
    <w:name w:val="Default"/>
    <w:rsid w:val="00E47A7B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BD0520"/>
    <w:pPr>
      <w:spacing w:line="20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BD0520"/>
    <w:pPr>
      <w:spacing w:line="20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9416EC"/>
    <w:rPr>
      <w:rFonts w:cs="Roboto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22</cp:revision>
  <dcterms:created xsi:type="dcterms:W3CDTF">2018-01-22T02:08:00Z</dcterms:created>
  <dcterms:modified xsi:type="dcterms:W3CDTF">2023-04-24T07:33:00Z</dcterms:modified>
</cp:coreProperties>
</file>